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62" w:rsidRDefault="007975EB">
      <w:pPr>
        <w:keepNext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                                                                        Проект</w:t>
      </w:r>
    </w:p>
    <w:p w:rsidR="005C4E62" w:rsidRDefault="005C4E62">
      <w:pPr>
        <w:keepNext/>
        <w:jc w:val="center"/>
        <w:rPr>
          <w:b/>
          <w:sz w:val="26"/>
          <w:szCs w:val="28"/>
        </w:rPr>
      </w:pPr>
    </w:p>
    <w:p w:rsidR="005C4E62" w:rsidRDefault="005C4E62">
      <w:pPr>
        <w:keepNext/>
        <w:jc w:val="center"/>
        <w:rPr>
          <w:b/>
          <w:sz w:val="26"/>
          <w:szCs w:val="28"/>
        </w:rPr>
      </w:pPr>
    </w:p>
    <w:p w:rsidR="005C4E62" w:rsidRDefault="007975EB">
      <w:pPr>
        <w:keepNext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Федерация                               </w:t>
      </w:r>
    </w:p>
    <w:p w:rsidR="005C4E62" w:rsidRDefault="007975E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5C4E62" w:rsidRDefault="005C4E62">
      <w:pPr>
        <w:keepNext/>
        <w:jc w:val="center"/>
        <w:rPr>
          <w:b/>
          <w:caps/>
          <w:sz w:val="4"/>
          <w:szCs w:val="28"/>
        </w:rPr>
      </w:pPr>
    </w:p>
    <w:p w:rsidR="005C4E62" w:rsidRDefault="007975EB">
      <w:pPr>
        <w:keepNext/>
        <w:jc w:val="center"/>
        <w:rPr>
          <w:b/>
          <w:caps/>
          <w:sz w:val="26"/>
          <w:szCs w:val="28"/>
        </w:rPr>
      </w:pPr>
      <w:r>
        <w:rPr>
          <w:b/>
          <w:caps/>
          <w:sz w:val="26"/>
          <w:szCs w:val="28"/>
        </w:rPr>
        <w:t>ДУМА  Батецкого муниципального  ОКРУГА</w:t>
      </w:r>
    </w:p>
    <w:p w:rsidR="005C4E62" w:rsidRDefault="007975EB">
      <w:pPr>
        <w:keepNext/>
        <w:jc w:val="center"/>
        <w:rPr>
          <w:b/>
          <w:caps/>
          <w:sz w:val="26"/>
          <w:szCs w:val="28"/>
        </w:rPr>
      </w:pPr>
      <w:r>
        <w:rPr>
          <w:b/>
          <w:caps/>
          <w:sz w:val="26"/>
          <w:szCs w:val="28"/>
        </w:rPr>
        <w:t>НОВГОРОДСКОЙ ОБЛАСТИ</w:t>
      </w:r>
    </w:p>
    <w:p w:rsidR="005C4E62" w:rsidRDefault="005C4E62">
      <w:pPr>
        <w:jc w:val="center"/>
        <w:rPr>
          <w:b/>
          <w:caps/>
          <w:sz w:val="26"/>
          <w:szCs w:val="28"/>
        </w:rPr>
      </w:pPr>
    </w:p>
    <w:p w:rsidR="005C4E62" w:rsidRDefault="007975EB">
      <w:pPr>
        <w:keepNext/>
        <w:jc w:val="center"/>
        <w:rPr>
          <w:caps/>
          <w:spacing w:val="100"/>
          <w:sz w:val="28"/>
          <w:szCs w:val="28"/>
        </w:rPr>
      </w:pPr>
      <w:r>
        <w:rPr>
          <w:caps/>
          <w:spacing w:val="100"/>
          <w:sz w:val="28"/>
          <w:szCs w:val="28"/>
        </w:rPr>
        <w:t>РЕШЕНИЕ</w:t>
      </w:r>
    </w:p>
    <w:p w:rsidR="005C4E62" w:rsidRDefault="005C4E62">
      <w:pPr>
        <w:keepNext/>
        <w:keepLines/>
        <w:tabs>
          <w:tab w:val="left" w:pos="0"/>
        </w:tabs>
        <w:jc w:val="center"/>
        <w:rPr>
          <w:rFonts w:ascii="Times New Roman CYR" w:hAnsi="Times New Roman CYR" w:cs="Times New Roman CYR"/>
          <w:szCs w:val="28"/>
        </w:rPr>
      </w:pPr>
    </w:p>
    <w:p w:rsidR="005C4E62" w:rsidRDefault="005C4E62">
      <w:pPr>
        <w:keepNext/>
        <w:keepLines/>
        <w:tabs>
          <w:tab w:val="left" w:pos="0"/>
        </w:tabs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C4E62" w:rsidRDefault="007975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sz w:val="27"/>
          <w:szCs w:val="27"/>
        </w:rPr>
        <w:t>Положение о муниципальном контроле на автомобильном транспорте, городском  наземном электрическом транспорте и в дорожном хозяйстве в границах Батецкого муниципального округа</w:t>
      </w:r>
      <w:r>
        <w:rPr>
          <w:b/>
          <w:sz w:val="28"/>
          <w:szCs w:val="28"/>
        </w:rPr>
        <w:t xml:space="preserve"> </w:t>
      </w:r>
    </w:p>
    <w:p w:rsidR="005C4E62" w:rsidRDefault="005C4E62">
      <w:pPr>
        <w:jc w:val="center"/>
      </w:pPr>
    </w:p>
    <w:p w:rsidR="005C4E62" w:rsidRDefault="007975EB">
      <w:pPr>
        <w:jc w:val="center"/>
      </w:pPr>
      <w:r>
        <w:t>Принято Думой Батецкого муниципального округа</w:t>
      </w:r>
      <w:r w:rsidR="001A7E9C">
        <w:t>_____ июля 2025 года</w:t>
      </w:r>
      <w:bookmarkStart w:id="0" w:name="_GoBack"/>
      <w:bookmarkEnd w:id="0"/>
    </w:p>
    <w:p w:rsidR="005C4E62" w:rsidRDefault="005C4E62">
      <w:pPr>
        <w:jc w:val="center"/>
      </w:pPr>
    </w:p>
    <w:p w:rsidR="005C4E62" w:rsidRDefault="005C4E62">
      <w:pPr>
        <w:jc w:val="center"/>
      </w:pPr>
    </w:p>
    <w:p w:rsidR="005C4E62" w:rsidRDefault="005C4E62">
      <w:pPr>
        <w:jc w:val="center"/>
      </w:pPr>
    </w:p>
    <w:p w:rsidR="005C4E62" w:rsidRDefault="007975EB">
      <w:pPr>
        <w:pStyle w:val="11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Style w:val="aff"/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 июля 2020 года                          № 248-ФЗ «О государственном контроле (надзоре) и муниципальном контро</w:t>
      </w:r>
      <w:r w:rsidR="003B3E0C">
        <w:rPr>
          <w:rFonts w:ascii="Times New Roman" w:hAnsi="Times New Roman" w:cs="Times New Roman"/>
          <w:sz w:val="28"/>
          <w:szCs w:val="28"/>
        </w:rPr>
        <w:t>ле     в Российской Федерации</w:t>
      </w:r>
      <w:proofErr w:type="gramStart"/>
      <w:r w:rsidR="003B3E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11 июня 2021 года № 170-ФЗ «О внесении изменений в отдельные законодательные акты Российской Федерации в связи с принятием Федерального закона “О государственном контроле (надзоре) и  муниципальном контроле в Российской Федерации”, Дума Батецкого муниципального округа </w:t>
      </w:r>
    </w:p>
    <w:p w:rsidR="005C4E62" w:rsidRDefault="007975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C4E62" w:rsidRDefault="005C4E62">
      <w:pPr>
        <w:ind w:firstLine="709"/>
        <w:jc w:val="both"/>
        <w:rPr>
          <w:sz w:val="28"/>
          <w:szCs w:val="28"/>
        </w:rPr>
      </w:pPr>
    </w:p>
    <w:p w:rsidR="005C4E62" w:rsidRDefault="005C4E62">
      <w:pPr>
        <w:ind w:firstLine="708"/>
        <w:jc w:val="both"/>
        <w:rPr>
          <w:b/>
          <w:sz w:val="20"/>
          <w:szCs w:val="20"/>
        </w:rPr>
      </w:pPr>
    </w:p>
    <w:p w:rsidR="005C4E62" w:rsidRDefault="007975EB">
      <w:pPr>
        <w:pStyle w:val="aff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Положение о муниципальном контроле  </w:t>
      </w:r>
      <w:r>
        <w:rPr>
          <w:color w:val="000000"/>
          <w:sz w:val="27"/>
          <w:szCs w:val="27"/>
        </w:rPr>
        <w:t>на автомобильном транспорте, городском  наземном электрическом</w:t>
      </w:r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транспорте и в дорожном хозяйстве в границах Батецкого муниципального округа</w:t>
      </w:r>
      <w:r>
        <w:rPr>
          <w:sz w:val="28"/>
          <w:szCs w:val="28"/>
        </w:rPr>
        <w:t xml:space="preserve"> утвержденного Решением Думы от 14.05.2025 года № 100-РД, изложить в приложении № 3 в новой редакции:</w:t>
      </w:r>
    </w:p>
    <w:p w:rsidR="005C4E62" w:rsidRDefault="005C4E62">
      <w:pPr>
        <w:pStyle w:val="aff0"/>
        <w:ind w:left="708"/>
        <w:jc w:val="both"/>
        <w:rPr>
          <w:sz w:val="28"/>
          <w:szCs w:val="28"/>
        </w:rPr>
      </w:pPr>
    </w:p>
    <w:p w:rsidR="005C4E62" w:rsidRDefault="005C4E62">
      <w:pPr>
        <w:pStyle w:val="aff0"/>
        <w:ind w:left="0"/>
        <w:jc w:val="right"/>
        <w:rPr>
          <w:sz w:val="28"/>
          <w:szCs w:val="28"/>
        </w:rPr>
      </w:pPr>
    </w:p>
    <w:p w:rsidR="005C4E62" w:rsidRDefault="005C4E62">
      <w:pPr>
        <w:pStyle w:val="aff0"/>
        <w:ind w:left="0"/>
        <w:jc w:val="right"/>
        <w:rPr>
          <w:sz w:val="28"/>
          <w:szCs w:val="28"/>
        </w:rPr>
      </w:pPr>
    </w:p>
    <w:p w:rsidR="005C4E62" w:rsidRDefault="007975EB">
      <w:pPr>
        <w:pStyle w:val="af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“Перечень индикаторов риска </w:t>
      </w:r>
    </w:p>
    <w:p w:rsidR="005C4E62" w:rsidRDefault="007975EB">
      <w:pPr>
        <w:pStyle w:val="af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Батецкого муниципального округа   </w:t>
      </w:r>
    </w:p>
    <w:p w:rsidR="005C4E62" w:rsidRDefault="005C4E62">
      <w:pPr>
        <w:pStyle w:val="aff0"/>
        <w:ind w:left="1068"/>
        <w:jc w:val="both"/>
        <w:rPr>
          <w:sz w:val="28"/>
          <w:szCs w:val="28"/>
        </w:rPr>
      </w:pPr>
    </w:p>
    <w:p w:rsidR="005C4E62" w:rsidRDefault="007975EB">
      <w:pPr>
        <w:pStyle w:val="aff0"/>
        <w:tabs>
          <w:tab w:val="left" w:pos="1134"/>
        </w:tabs>
        <w:spacing w:line="360" w:lineRule="atLeast"/>
        <w:ind w:left="0" w:firstLine="708"/>
        <w:jc w:val="both"/>
        <w:rPr>
          <w:sz w:val="28"/>
        </w:rPr>
      </w:pPr>
      <w:r>
        <w:rPr>
          <w:sz w:val="28"/>
        </w:rPr>
        <w:t xml:space="preserve">1.  Двукратный и более рост количества обращений за месяц в сравнении с предшествующим аналогичным периодом,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от органов </w:t>
      </w:r>
      <w:r>
        <w:rPr>
          <w:sz w:val="28"/>
        </w:rPr>
        <w:lastRenderedPageBreak/>
        <w:t>государственной власти, содержащих информацию о признаках нарушений организациями и гражданами обязательных требований, установленных федеральными законами и муниципальными нормативными правовыми актами:</w:t>
      </w:r>
    </w:p>
    <w:p w:rsidR="005C4E62" w:rsidRDefault="007975EB">
      <w:pPr>
        <w:pStyle w:val="aff0"/>
        <w:tabs>
          <w:tab w:val="left" w:pos="1134"/>
        </w:tabs>
        <w:spacing w:line="360" w:lineRule="atLeast"/>
        <w:ind w:left="0" w:firstLine="851"/>
        <w:jc w:val="both"/>
        <w:rPr>
          <w:sz w:val="28"/>
        </w:rPr>
      </w:pPr>
      <w:r>
        <w:rPr>
          <w:sz w:val="28"/>
        </w:rPr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:rsidR="005C4E62" w:rsidRDefault="007975EB">
      <w:pPr>
        <w:pStyle w:val="aff0"/>
        <w:tabs>
          <w:tab w:val="left" w:pos="1134"/>
        </w:tabs>
        <w:spacing w:line="360" w:lineRule="atLeast"/>
        <w:ind w:left="0" w:firstLine="851"/>
        <w:jc w:val="both"/>
        <w:rPr>
          <w:sz w:val="28"/>
        </w:rPr>
      </w:pPr>
      <w:r>
        <w:rPr>
          <w:sz w:val="28"/>
        </w:rPr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:rsidR="005C4E62" w:rsidRDefault="007975EB">
      <w:pPr>
        <w:pStyle w:val="aff0"/>
        <w:tabs>
          <w:tab w:val="left" w:pos="1134"/>
        </w:tabs>
        <w:spacing w:line="360" w:lineRule="atLeast"/>
        <w:ind w:left="0" w:firstLine="708"/>
        <w:jc w:val="both"/>
        <w:rPr>
          <w:sz w:val="28"/>
        </w:rPr>
      </w:pPr>
      <w:r>
        <w:rPr>
          <w:sz w:val="28"/>
        </w:rPr>
        <w:t>2. Увеличение в два и более раз количества дорожно-транспортных происшествий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проведении земляных работ контролируемым лицом на одном участке автомобильной дороги общего пользования местного значения.</w:t>
      </w:r>
    </w:p>
    <w:p w:rsidR="005C4E62" w:rsidRDefault="007975EB">
      <w:pPr>
        <w:pStyle w:val="aff0"/>
        <w:tabs>
          <w:tab w:val="left" w:pos="1134"/>
        </w:tabs>
        <w:spacing w:line="360" w:lineRule="atLeast"/>
        <w:ind w:left="0" w:firstLine="708"/>
        <w:jc w:val="both"/>
        <w:rPr>
          <w:sz w:val="28"/>
        </w:rPr>
      </w:pPr>
      <w:r>
        <w:rPr>
          <w:sz w:val="28"/>
        </w:rPr>
        <w:t>3. 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5C4E62" w:rsidRDefault="007975EB">
      <w:pPr>
        <w:pStyle w:val="aff0"/>
        <w:tabs>
          <w:tab w:val="left" w:pos="1134"/>
        </w:tabs>
        <w:spacing w:line="360" w:lineRule="atLeast"/>
        <w:ind w:left="0" w:firstLine="708"/>
        <w:jc w:val="both"/>
        <w:rPr>
          <w:sz w:val="28"/>
        </w:rPr>
      </w:pPr>
      <w:r>
        <w:rPr>
          <w:sz w:val="28"/>
        </w:rPr>
        <w:t>4. Поступление в контрольный орган информации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разрушении дорожного покрытия автомобильной дороги и (или) дорожного сооружения после проведения их строительства, реконструкции, капитального ремонта, ремонта и содержания более двух раз в течение 6 месяцев».</w:t>
      </w:r>
    </w:p>
    <w:p w:rsidR="005C4E62" w:rsidRDefault="005C4E62">
      <w:pPr>
        <w:pStyle w:val="aff0"/>
        <w:ind w:left="1068"/>
        <w:jc w:val="both"/>
        <w:rPr>
          <w:sz w:val="28"/>
          <w:szCs w:val="28"/>
        </w:rPr>
      </w:pPr>
    </w:p>
    <w:p w:rsidR="005C4E62" w:rsidRDefault="0079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дня, следующего за днем его  официального опубликования.</w:t>
      </w:r>
    </w:p>
    <w:p w:rsidR="005C4E62" w:rsidRDefault="007975E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Опубликовать решение в муниципальной газете «Батецкий вестник» и разместить на официальном сайте Администрации Батецкого муниципального округа Новгородской области в информационно-телекоммуникационной сети «Интернет».</w:t>
      </w:r>
    </w:p>
    <w:p w:rsidR="005C4E62" w:rsidRDefault="005C4E62">
      <w:pPr>
        <w:ind w:firstLine="709"/>
        <w:jc w:val="both"/>
        <w:rPr>
          <w:color w:val="000000"/>
          <w:sz w:val="28"/>
          <w:szCs w:val="28"/>
        </w:rPr>
      </w:pPr>
    </w:p>
    <w:p w:rsidR="005C4E62" w:rsidRDefault="005C4E62">
      <w:pPr>
        <w:ind w:firstLine="709"/>
        <w:jc w:val="both"/>
        <w:rPr>
          <w:color w:val="000000"/>
          <w:sz w:val="28"/>
          <w:szCs w:val="28"/>
        </w:rPr>
      </w:pPr>
    </w:p>
    <w:p w:rsidR="005C4E62" w:rsidRDefault="007975EB">
      <w:pPr>
        <w:tabs>
          <w:tab w:val="left" w:pos="6800"/>
        </w:tabs>
        <w:ind w:left="4111" w:hanging="38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подготовлен: </w:t>
      </w:r>
    </w:p>
    <w:p w:rsidR="005C4E62" w:rsidRDefault="005C4E62">
      <w:pPr>
        <w:tabs>
          <w:tab w:val="left" w:pos="6800"/>
        </w:tabs>
        <w:ind w:left="4111" w:hanging="3828"/>
        <w:rPr>
          <w:sz w:val="28"/>
          <w:szCs w:val="28"/>
        </w:rPr>
      </w:pPr>
    </w:p>
    <w:p w:rsidR="005C4E62" w:rsidRDefault="007975EB">
      <w:pPr>
        <w:tabs>
          <w:tab w:val="left" w:pos="6800"/>
        </w:tabs>
        <w:ind w:left="4111" w:hanging="3828"/>
        <w:rPr>
          <w:sz w:val="28"/>
          <w:szCs w:val="28"/>
        </w:rPr>
      </w:pPr>
      <w:r>
        <w:rPr>
          <w:sz w:val="28"/>
          <w:szCs w:val="28"/>
        </w:rPr>
        <w:t>Специалист 1 категории Батецкого</w:t>
      </w:r>
    </w:p>
    <w:p w:rsidR="005C4E62" w:rsidRDefault="007975EB">
      <w:pPr>
        <w:tabs>
          <w:tab w:val="left" w:pos="6800"/>
        </w:tabs>
        <w:ind w:left="4111" w:hanging="3828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территориального отдела                                                        А.О. Григорьева                                                                                                </w:t>
      </w:r>
    </w:p>
    <w:p w:rsidR="005C4E62" w:rsidRDefault="005C4E62">
      <w:pPr>
        <w:tabs>
          <w:tab w:val="left" w:pos="6800"/>
        </w:tabs>
        <w:rPr>
          <w:sz w:val="28"/>
          <w:szCs w:val="28"/>
        </w:rPr>
      </w:pPr>
    </w:p>
    <w:p w:rsidR="005C4E62" w:rsidRDefault="005C4E62">
      <w:pPr>
        <w:tabs>
          <w:tab w:val="left" w:pos="6800"/>
        </w:tabs>
        <w:rPr>
          <w:sz w:val="28"/>
          <w:szCs w:val="28"/>
        </w:rPr>
      </w:pPr>
    </w:p>
    <w:p w:rsidR="005C4E62" w:rsidRDefault="005C4E62">
      <w:pPr>
        <w:tabs>
          <w:tab w:val="left" w:pos="6800"/>
        </w:tabs>
        <w:rPr>
          <w:sz w:val="28"/>
          <w:szCs w:val="28"/>
        </w:rPr>
      </w:pPr>
    </w:p>
    <w:p w:rsidR="005C4E62" w:rsidRDefault="005C4E62">
      <w:pPr>
        <w:tabs>
          <w:tab w:val="left" w:pos="6800"/>
        </w:tabs>
        <w:rPr>
          <w:sz w:val="28"/>
          <w:szCs w:val="28"/>
        </w:rPr>
      </w:pPr>
    </w:p>
    <w:p w:rsidR="005C4E62" w:rsidRDefault="005C4E62">
      <w:pPr>
        <w:tabs>
          <w:tab w:val="left" w:pos="6800"/>
        </w:tabs>
        <w:rPr>
          <w:sz w:val="28"/>
          <w:szCs w:val="28"/>
        </w:rPr>
      </w:pP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Согласован:</w:t>
      </w:r>
    </w:p>
    <w:p w:rsidR="005C4E62" w:rsidRDefault="005C4E62">
      <w:pPr>
        <w:tabs>
          <w:tab w:val="left" w:pos="6800"/>
        </w:tabs>
        <w:jc w:val="both"/>
        <w:rPr>
          <w:sz w:val="28"/>
          <w:szCs w:val="28"/>
        </w:rPr>
      </w:pP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А.И. Новиков  </w:t>
      </w:r>
    </w:p>
    <w:p w:rsidR="005C4E62" w:rsidRDefault="005C4E62">
      <w:pPr>
        <w:tabs>
          <w:tab w:val="left" w:pos="6800"/>
        </w:tabs>
        <w:jc w:val="both"/>
        <w:rPr>
          <w:sz w:val="28"/>
          <w:szCs w:val="28"/>
        </w:rPr>
      </w:pP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юр. отдела                                                                      Д. А. Аникеев  </w:t>
      </w: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Батецкого</w:t>
      </w: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отдела                                                             М.А. Семенова</w:t>
      </w:r>
    </w:p>
    <w:p w:rsidR="005C4E62" w:rsidRDefault="005C4E62">
      <w:pPr>
        <w:tabs>
          <w:tab w:val="left" w:pos="6800"/>
        </w:tabs>
        <w:jc w:val="both"/>
        <w:rPr>
          <w:sz w:val="28"/>
          <w:szCs w:val="28"/>
        </w:rPr>
      </w:pP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Мойкинского</w:t>
      </w:r>
    </w:p>
    <w:p w:rsidR="005C4E62" w:rsidRDefault="007975EB">
      <w:pPr>
        <w:tabs>
          <w:tab w:val="left" w:pos="6800"/>
        </w:tabs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территориального   отдела                                                              С.Н. Иванова                                                                                                  </w:t>
      </w:r>
    </w:p>
    <w:p w:rsidR="005C4E62" w:rsidRDefault="005C4E62">
      <w:pPr>
        <w:tabs>
          <w:tab w:val="left" w:pos="6800"/>
        </w:tabs>
        <w:jc w:val="both"/>
        <w:rPr>
          <w:sz w:val="28"/>
          <w:szCs w:val="28"/>
        </w:rPr>
      </w:pP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Передольского</w:t>
      </w:r>
    </w:p>
    <w:p w:rsidR="005C4E62" w:rsidRDefault="007975EB">
      <w:pPr>
        <w:tabs>
          <w:tab w:val="left" w:pos="6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 отдела                                                          С.В. Капустьянова </w:t>
      </w:r>
    </w:p>
    <w:p w:rsidR="005C4E62" w:rsidRDefault="005C4E62">
      <w:pPr>
        <w:tabs>
          <w:tab w:val="left" w:pos="6800"/>
        </w:tabs>
        <w:jc w:val="both"/>
        <w:rPr>
          <w:sz w:val="28"/>
          <w:szCs w:val="28"/>
        </w:rPr>
      </w:pPr>
    </w:p>
    <w:p w:rsidR="005C4E62" w:rsidRDefault="007975EB">
      <w:pPr>
        <w:tabs>
          <w:tab w:val="left" w:pos="68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C4E62">
        <w:tc>
          <w:tcPr>
            <w:tcW w:w="9606" w:type="dxa"/>
          </w:tcPr>
          <w:p w:rsidR="005C4E62" w:rsidRDefault="005C4E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4E62" w:rsidRDefault="007975EB">
      <w:pPr>
        <w:tabs>
          <w:tab w:val="left" w:pos="6800"/>
        </w:tabs>
        <w:ind w:left="4111" w:hanging="3828"/>
        <w:jc w:val="both"/>
        <w:rPr>
          <w:b/>
          <w:color w:val="000000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5C4E62" w:rsidRDefault="005C4E62">
      <w:pPr>
        <w:tabs>
          <w:tab w:val="left" w:pos="6800"/>
        </w:tabs>
      </w:pPr>
    </w:p>
    <w:p w:rsidR="005C4E62" w:rsidRDefault="005C4E62">
      <w:pPr>
        <w:tabs>
          <w:tab w:val="left" w:pos="6800"/>
        </w:tabs>
      </w:pPr>
    </w:p>
    <w:p w:rsidR="005C4E62" w:rsidRDefault="005C4E62">
      <w:pPr>
        <w:tabs>
          <w:tab w:val="left" w:pos="6800"/>
        </w:tabs>
      </w:pPr>
    </w:p>
    <w:p w:rsidR="005C4E62" w:rsidRDefault="007975EB">
      <w:pPr>
        <w:tabs>
          <w:tab w:val="left" w:pos="6800"/>
        </w:tabs>
      </w:pPr>
      <w:r>
        <w:t xml:space="preserve">При проведении первичной антикоррупционной экспертизы представленного проекта постановления, положений, способствующих созданию условий для проявления коррупции не выявлено.                                                                                                                                         </w:t>
      </w:r>
    </w:p>
    <w:p w:rsidR="005C4E62" w:rsidRDefault="005C4E62">
      <w:pPr>
        <w:spacing w:after="200" w:line="276" w:lineRule="auto"/>
        <w:ind w:left="-567" w:firstLine="851"/>
        <w:jc w:val="both"/>
        <w:rPr>
          <w:sz w:val="28"/>
          <w:szCs w:val="28"/>
        </w:rPr>
      </w:pPr>
    </w:p>
    <w:p w:rsidR="005C4E62" w:rsidRDefault="005C4E62">
      <w:pPr>
        <w:ind w:firstLine="709"/>
        <w:jc w:val="both"/>
        <w:rPr>
          <w:color w:val="000000"/>
          <w:sz w:val="28"/>
          <w:szCs w:val="28"/>
        </w:rPr>
      </w:pPr>
    </w:p>
    <w:p w:rsidR="005C4E62" w:rsidRDefault="005C4E62">
      <w:pPr>
        <w:ind w:firstLine="709"/>
        <w:jc w:val="both"/>
        <w:rPr>
          <w:color w:val="000000"/>
          <w:sz w:val="28"/>
          <w:szCs w:val="28"/>
        </w:rPr>
      </w:pPr>
    </w:p>
    <w:p w:rsidR="005C4E62" w:rsidRDefault="007975EB">
      <w:pPr>
        <w:spacing w:line="240" w:lineRule="exact"/>
        <w:ind w:left="708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5C4E62" w:rsidRDefault="005C4E62">
      <w:pPr>
        <w:widowControl w:val="0"/>
        <w:jc w:val="right"/>
        <w:rPr>
          <w:bCs/>
          <w:sz w:val="28"/>
          <w:szCs w:val="28"/>
        </w:rPr>
      </w:pPr>
    </w:p>
    <w:p w:rsidR="005C4E62" w:rsidRDefault="007975EB">
      <w:pPr>
        <w:widowControl w:val="0"/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</w:p>
    <w:p w:rsidR="005C4E62" w:rsidRDefault="005C4E62">
      <w:pPr>
        <w:widowControl w:val="0"/>
        <w:spacing w:line="240" w:lineRule="exact"/>
        <w:jc w:val="right"/>
        <w:rPr>
          <w:bCs/>
          <w:sz w:val="28"/>
          <w:szCs w:val="28"/>
        </w:rPr>
      </w:pPr>
    </w:p>
    <w:sectPr w:rsidR="005C4E62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6D5A"/>
    <w:multiLevelType w:val="hybridMultilevel"/>
    <w:tmpl w:val="DED4FD8C"/>
    <w:lvl w:ilvl="0" w:tplc="7B0E589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C80630C0" w:tentative="1">
      <w:start w:val="1"/>
      <w:numFmt w:val="lowerLetter"/>
      <w:lvlText w:val="%2."/>
      <w:lvlJc w:val="left"/>
      <w:pPr>
        <w:ind w:left="1440" w:hanging="360"/>
      </w:pPr>
    </w:lvl>
    <w:lvl w:ilvl="2" w:tplc="C1A80398" w:tentative="1">
      <w:start w:val="1"/>
      <w:numFmt w:val="lowerRoman"/>
      <w:lvlText w:val="%3."/>
      <w:lvlJc w:val="right"/>
      <w:pPr>
        <w:ind w:left="2160" w:hanging="180"/>
      </w:pPr>
    </w:lvl>
    <w:lvl w:ilvl="3" w:tplc="34D8C9BA" w:tentative="1">
      <w:start w:val="1"/>
      <w:numFmt w:val="decimal"/>
      <w:lvlText w:val="%4."/>
      <w:lvlJc w:val="left"/>
      <w:pPr>
        <w:ind w:left="2880" w:hanging="360"/>
      </w:pPr>
    </w:lvl>
    <w:lvl w:ilvl="4" w:tplc="94ECCFC2" w:tentative="1">
      <w:start w:val="1"/>
      <w:numFmt w:val="lowerLetter"/>
      <w:lvlText w:val="%5."/>
      <w:lvlJc w:val="left"/>
      <w:pPr>
        <w:ind w:left="3600" w:hanging="360"/>
      </w:pPr>
    </w:lvl>
    <w:lvl w:ilvl="5" w:tplc="CB643792" w:tentative="1">
      <w:start w:val="1"/>
      <w:numFmt w:val="lowerRoman"/>
      <w:lvlText w:val="%6."/>
      <w:lvlJc w:val="right"/>
      <w:pPr>
        <w:ind w:left="4320" w:hanging="180"/>
      </w:pPr>
    </w:lvl>
    <w:lvl w:ilvl="6" w:tplc="39CA5F46" w:tentative="1">
      <w:start w:val="1"/>
      <w:numFmt w:val="decimal"/>
      <w:lvlText w:val="%7."/>
      <w:lvlJc w:val="left"/>
      <w:pPr>
        <w:ind w:left="5040" w:hanging="360"/>
      </w:pPr>
    </w:lvl>
    <w:lvl w:ilvl="7" w:tplc="8D86E71E" w:tentative="1">
      <w:start w:val="1"/>
      <w:numFmt w:val="lowerLetter"/>
      <w:lvlText w:val="%8."/>
      <w:lvlJc w:val="left"/>
      <w:pPr>
        <w:ind w:left="5760" w:hanging="360"/>
      </w:pPr>
    </w:lvl>
    <w:lvl w:ilvl="8" w:tplc="F9C6E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C77B4"/>
    <w:multiLevelType w:val="hybridMultilevel"/>
    <w:tmpl w:val="E722998E"/>
    <w:lvl w:ilvl="0" w:tplc="51B06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F2B7A2" w:tentative="1">
      <w:start w:val="1"/>
      <w:numFmt w:val="lowerLetter"/>
      <w:lvlText w:val="%2."/>
      <w:lvlJc w:val="left"/>
      <w:pPr>
        <w:ind w:left="1440" w:hanging="360"/>
      </w:pPr>
    </w:lvl>
    <w:lvl w:ilvl="2" w:tplc="442A4BC6" w:tentative="1">
      <w:start w:val="1"/>
      <w:numFmt w:val="lowerRoman"/>
      <w:lvlText w:val="%3."/>
      <w:lvlJc w:val="right"/>
      <w:pPr>
        <w:ind w:left="2160" w:hanging="180"/>
      </w:pPr>
    </w:lvl>
    <w:lvl w:ilvl="3" w:tplc="49409B6C" w:tentative="1">
      <w:start w:val="1"/>
      <w:numFmt w:val="decimal"/>
      <w:lvlText w:val="%4."/>
      <w:lvlJc w:val="left"/>
      <w:pPr>
        <w:ind w:left="2880" w:hanging="360"/>
      </w:pPr>
    </w:lvl>
    <w:lvl w:ilvl="4" w:tplc="F154E9F4" w:tentative="1">
      <w:start w:val="1"/>
      <w:numFmt w:val="lowerLetter"/>
      <w:lvlText w:val="%5."/>
      <w:lvlJc w:val="left"/>
      <w:pPr>
        <w:ind w:left="3600" w:hanging="360"/>
      </w:pPr>
    </w:lvl>
    <w:lvl w:ilvl="5" w:tplc="E06086FE" w:tentative="1">
      <w:start w:val="1"/>
      <w:numFmt w:val="lowerRoman"/>
      <w:lvlText w:val="%6."/>
      <w:lvlJc w:val="right"/>
      <w:pPr>
        <w:ind w:left="4320" w:hanging="180"/>
      </w:pPr>
    </w:lvl>
    <w:lvl w:ilvl="6" w:tplc="1D5EFF4A" w:tentative="1">
      <w:start w:val="1"/>
      <w:numFmt w:val="decimal"/>
      <w:lvlText w:val="%7."/>
      <w:lvlJc w:val="left"/>
      <w:pPr>
        <w:ind w:left="5040" w:hanging="360"/>
      </w:pPr>
    </w:lvl>
    <w:lvl w:ilvl="7" w:tplc="7F6A82FE" w:tentative="1">
      <w:start w:val="1"/>
      <w:numFmt w:val="lowerLetter"/>
      <w:lvlText w:val="%8."/>
      <w:lvlJc w:val="left"/>
      <w:pPr>
        <w:ind w:left="5760" w:hanging="360"/>
      </w:pPr>
    </w:lvl>
    <w:lvl w:ilvl="8" w:tplc="B6CAD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00CFA"/>
    <w:multiLevelType w:val="hybridMultilevel"/>
    <w:tmpl w:val="206C3ED2"/>
    <w:lvl w:ilvl="0" w:tplc="6B9CD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EC6108" w:tentative="1">
      <w:start w:val="1"/>
      <w:numFmt w:val="lowerLetter"/>
      <w:lvlText w:val="%2."/>
      <w:lvlJc w:val="left"/>
      <w:pPr>
        <w:ind w:left="1440" w:hanging="360"/>
      </w:pPr>
    </w:lvl>
    <w:lvl w:ilvl="2" w:tplc="E2E06FB8" w:tentative="1">
      <w:start w:val="1"/>
      <w:numFmt w:val="lowerRoman"/>
      <w:lvlText w:val="%3."/>
      <w:lvlJc w:val="right"/>
      <w:pPr>
        <w:ind w:left="2160" w:hanging="180"/>
      </w:pPr>
    </w:lvl>
    <w:lvl w:ilvl="3" w:tplc="6D26AE24" w:tentative="1">
      <w:start w:val="1"/>
      <w:numFmt w:val="decimal"/>
      <w:lvlText w:val="%4."/>
      <w:lvlJc w:val="left"/>
      <w:pPr>
        <w:ind w:left="2880" w:hanging="360"/>
      </w:pPr>
    </w:lvl>
    <w:lvl w:ilvl="4" w:tplc="2590547A" w:tentative="1">
      <w:start w:val="1"/>
      <w:numFmt w:val="lowerLetter"/>
      <w:lvlText w:val="%5."/>
      <w:lvlJc w:val="left"/>
      <w:pPr>
        <w:ind w:left="3600" w:hanging="360"/>
      </w:pPr>
    </w:lvl>
    <w:lvl w:ilvl="5" w:tplc="419A3968" w:tentative="1">
      <w:start w:val="1"/>
      <w:numFmt w:val="lowerRoman"/>
      <w:lvlText w:val="%6."/>
      <w:lvlJc w:val="right"/>
      <w:pPr>
        <w:ind w:left="4320" w:hanging="180"/>
      </w:pPr>
    </w:lvl>
    <w:lvl w:ilvl="6" w:tplc="B1AC7F1A" w:tentative="1">
      <w:start w:val="1"/>
      <w:numFmt w:val="decimal"/>
      <w:lvlText w:val="%7."/>
      <w:lvlJc w:val="left"/>
      <w:pPr>
        <w:ind w:left="5040" w:hanging="360"/>
      </w:pPr>
    </w:lvl>
    <w:lvl w:ilvl="7" w:tplc="A3AC6512" w:tentative="1">
      <w:start w:val="1"/>
      <w:numFmt w:val="lowerLetter"/>
      <w:lvlText w:val="%8."/>
      <w:lvlJc w:val="left"/>
      <w:pPr>
        <w:ind w:left="5760" w:hanging="360"/>
      </w:pPr>
    </w:lvl>
    <w:lvl w:ilvl="8" w:tplc="D0969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25225"/>
    <w:multiLevelType w:val="multilevel"/>
    <w:tmpl w:val="23A846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6B"/>
    <w:rsid w:val="000E59B0"/>
    <w:rsid w:val="0011460A"/>
    <w:rsid w:val="001A7E9C"/>
    <w:rsid w:val="001C4688"/>
    <w:rsid w:val="002A1C27"/>
    <w:rsid w:val="003B3E0C"/>
    <w:rsid w:val="004A6E05"/>
    <w:rsid w:val="00586E58"/>
    <w:rsid w:val="00596FDA"/>
    <w:rsid w:val="005C4E62"/>
    <w:rsid w:val="006800AD"/>
    <w:rsid w:val="007975EB"/>
    <w:rsid w:val="007F067A"/>
    <w:rsid w:val="0084506B"/>
    <w:rsid w:val="00AA59E1"/>
    <w:rsid w:val="00A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28A8-5BE4-4028-9F0E-F3C62FC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7">
    <w:name w:val="footer"/>
    <w:link w:val="af8"/>
    <w:uiPriority w:val="99"/>
    <w:unhideWhenUsed/>
    <w:pPr>
      <w:spacing w:after="0" w:line="240" w:lineRule="auto"/>
    </w:pPr>
  </w:style>
  <w:style w:type="character" w:customStyle="1" w:styleId="af8">
    <w:name w:val="Нижний колонтитул Знак"/>
    <w:link w:val="af7"/>
    <w:uiPriority w:val="99"/>
  </w:style>
  <w:style w:type="paragraph" w:styleId="af9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a">
    <w:name w:val="Strong"/>
    <w:uiPriority w:val="22"/>
    <w:qFormat/>
    <w:rPr>
      <w:b/>
      <w:bCs/>
      <w:bdr w:val="none" w:sz="4" w:space="0" w:color="auto"/>
      <w:vertAlign w:val="baseline"/>
    </w:rPr>
  </w:style>
  <w:style w:type="paragraph" w:styleId="afb">
    <w:name w:val="Normal (Web)"/>
    <w:basedOn w:val="a"/>
    <w:uiPriority w:val="99"/>
    <w:semiHidden/>
    <w:unhideWhenUsed/>
    <w:pPr>
      <w:spacing w:before="100" w:after="100"/>
      <w:ind w:firstLine="567"/>
    </w:pPr>
  </w:style>
  <w:style w:type="paragraph" w:styleId="afc">
    <w:name w:val="header"/>
    <w:basedOn w:val="a"/>
    <w:link w:val="af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paragraph" w:customStyle="1" w:styleId="11">
    <w:name w:val="Без интервала1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77CC-7805-43CE-975E-6DAFB5C7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Н.В</dc:creator>
  <cp:lastModifiedBy>Филипп</cp:lastModifiedBy>
  <cp:revision>4</cp:revision>
  <dcterms:created xsi:type="dcterms:W3CDTF">2025-07-10T11:11:00Z</dcterms:created>
  <dcterms:modified xsi:type="dcterms:W3CDTF">2025-07-18T11:52:00Z</dcterms:modified>
</cp:coreProperties>
</file>