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2DE6" w14:textId="77777777" w:rsidR="0097533E" w:rsidRPr="0097533E" w:rsidRDefault="0097533E" w:rsidP="00B403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533E">
        <w:rPr>
          <w:rFonts w:ascii="Times New Roman" w:hAnsi="Times New Roman"/>
          <w:b/>
          <w:sz w:val="28"/>
          <w:szCs w:val="28"/>
        </w:rPr>
        <w:t>Отчет о результатах мониторинга качества финансового менеджмента,</w:t>
      </w:r>
    </w:p>
    <w:p w14:paraId="39158D06" w14:textId="77777777" w:rsidR="0097533E" w:rsidRPr="00194AE1" w:rsidRDefault="0097533E" w:rsidP="00B403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533E"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 Батецкого муниципального района на 01 января 202</w:t>
      </w:r>
      <w:r w:rsidR="00B40362">
        <w:rPr>
          <w:rFonts w:ascii="Times New Roman" w:hAnsi="Times New Roman"/>
          <w:b/>
          <w:sz w:val="28"/>
          <w:szCs w:val="28"/>
        </w:rPr>
        <w:t>4</w:t>
      </w:r>
      <w:r w:rsidRPr="0097533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ACFE910" w14:textId="77777777" w:rsidR="0097533E" w:rsidRPr="00BD37E8" w:rsidRDefault="0097533E" w:rsidP="00B40362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14:paraId="652CC208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4AE1">
        <w:rPr>
          <w:rFonts w:ascii="Times New Roman" w:hAnsi="Times New Roman"/>
          <w:sz w:val="28"/>
          <w:szCs w:val="28"/>
        </w:rPr>
        <w:t xml:space="preserve">     </w:t>
      </w:r>
      <w:r w:rsidRPr="0097533E">
        <w:rPr>
          <w:rFonts w:ascii="Times New Roman" w:hAnsi="Times New Roman"/>
          <w:sz w:val="28"/>
          <w:szCs w:val="28"/>
        </w:rPr>
        <w:t>Мониторинг качества финансового менеджмента проведен согласно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1CA818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комитета финансов Администрации Батецкого муниципального </w:t>
      </w:r>
    </w:p>
    <w:p w14:paraId="43694582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14.04.2020 №15 «Об утверждении Методики балльной оценки</w:t>
      </w:r>
    </w:p>
    <w:p w14:paraId="389C6D30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качества финансового менеджмента главных распорядителей средств</w:t>
      </w:r>
    </w:p>
    <w:p w14:paraId="64158B06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Pr="0097533E">
        <w:rPr>
          <w:rFonts w:ascii="Times New Roman" w:hAnsi="Times New Roman"/>
          <w:sz w:val="28"/>
          <w:szCs w:val="28"/>
        </w:rPr>
        <w:t>», осуществляемого главными</w:t>
      </w:r>
    </w:p>
    <w:p w14:paraId="2983550D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 w:rsidRPr="0097533E">
        <w:rPr>
          <w:rFonts w:ascii="Times New Roman" w:hAnsi="Times New Roman"/>
          <w:sz w:val="28"/>
          <w:szCs w:val="28"/>
        </w:rPr>
        <w:t xml:space="preserve"> распорядителями бюджетных средств и главными администраторами</w:t>
      </w:r>
    </w:p>
    <w:p w14:paraId="2E628E78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 w:rsidRPr="0097533E">
        <w:rPr>
          <w:rFonts w:ascii="Times New Roman" w:hAnsi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 среди 4 главных распорядителей </w:t>
      </w:r>
    </w:p>
    <w:p w14:paraId="160054A8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средств Батецкого муниципального района – далее ГРБС</w:t>
      </w:r>
    </w:p>
    <w:p w14:paraId="25BC7A50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(Администрация Батецкого муниципального района, Комитет культуры и </w:t>
      </w:r>
    </w:p>
    <w:p w14:paraId="4AAD1B44" w14:textId="77777777" w:rsidR="00420DE0" w:rsidRDefault="0097533E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туризма </w:t>
      </w:r>
      <w:r w:rsidR="00666B9B">
        <w:rPr>
          <w:rFonts w:ascii="Times New Roman" w:hAnsi="Times New Roman"/>
          <w:sz w:val="28"/>
          <w:szCs w:val="28"/>
        </w:rPr>
        <w:t xml:space="preserve">Администрации Батецкого муниципального района, Комитет </w:t>
      </w:r>
    </w:p>
    <w:p w14:paraId="6DFBCF20" w14:textId="77777777" w:rsidR="00420DE0" w:rsidRDefault="00666B9B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Администрации Батецкого муниципального района, Комитет </w:t>
      </w:r>
    </w:p>
    <w:p w14:paraId="7045ED24" w14:textId="77777777" w:rsidR="009A403C" w:rsidRDefault="00666B9B" w:rsidP="00B40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 Администрации Батецкого муниципального района).</w:t>
      </w:r>
    </w:p>
    <w:p w14:paraId="45A77B49" w14:textId="77777777" w:rsidR="00194AE1" w:rsidRDefault="00194AE1" w:rsidP="00B403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AE1">
        <w:rPr>
          <w:rFonts w:ascii="Times New Roman" w:hAnsi="Times New Roman"/>
          <w:sz w:val="28"/>
          <w:szCs w:val="28"/>
        </w:rPr>
        <w:t>Под мониторингом качества финансового менеджмента понимается анализ и оценка совокупности процессов и процедур, обеспечивающих результативность и эффективность использования бюджетных средств и охватывающих все стадии бюджетного процесса: составление проекта бюджета на очередной финансовый год и плановый период, исполнение бюджета по доходам и расходам, учет</w:t>
      </w:r>
      <w:r w:rsidR="00DD44AF">
        <w:rPr>
          <w:rFonts w:ascii="Times New Roman" w:hAnsi="Times New Roman"/>
          <w:sz w:val="28"/>
          <w:szCs w:val="28"/>
        </w:rPr>
        <w:t>,</w:t>
      </w:r>
      <w:r w:rsidRPr="00194AE1">
        <w:rPr>
          <w:rFonts w:ascii="Times New Roman" w:hAnsi="Times New Roman"/>
          <w:sz w:val="28"/>
          <w:szCs w:val="28"/>
        </w:rPr>
        <w:t xml:space="preserve"> отчетность, контроль.</w:t>
      </w:r>
    </w:p>
    <w:p w14:paraId="45316713" w14:textId="77777777" w:rsidR="00ED7DBF" w:rsidRPr="00ED7DBF" w:rsidRDefault="00ED7DBF" w:rsidP="00B403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BF">
        <w:rPr>
          <w:rFonts w:ascii="Times New Roman" w:hAnsi="Times New Roman"/>
          <w:sz w:val="28"/>
          <w:szCs w:val="28"/>
        </w:rPr>
        <w:t xml:space="preserve">Мониторинг качества финансового менеджмента (далее – </w:t>
      </w:r>
      <w:proofErr w:type="gramStart"/>
      <w:r w:rsidRPr="00ED7DBF">
        <w:rPr>
          <w:rFonts w:ascii="Times New Roman" w:hAnsi="Times New Roman"/>
          <w:sz w:val="28"/>
          <w:szCs w:val="28"/>
        </w:rPr>
        <w:t xml:space="preserve">Мониторинг)   </w:t>
      </w:r>
      <w:proofErr w:type="gramEnd"/>
      <w:r w:rsidRPr="00ED7DBF">
        <w:rPr>
          <w:rFonts w:ascii="Times New Roman" w:hAnsi="Times New Roman"/>
          <w:sz w:val="28"/>
          <w:szCs w:val="28"/>
        </w:rPr>
        <w:t xml:space="preserve"> проводится на основании бюджетной отчетности, результатов проведенных контрольно-ревизионных мероприятий, сведений и документов, представляемых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ED7DBF">
        <w:rPr>
          <w:rFonts w:ascii="Times New Roman" w:hAnsi="Times New Roman"/>
          <w:sz w:val="28"/>
          <w:szCs w:val="28"/>
        </w:rPr>
        <w:t xml:space="preserve"> финанс</w:t>
      </w:r>
      <w:r>
        <w:rPr>
          <w:rFonts w:ascii="Times New Roman" w:hAnsi="Times New Roman"/>
          <w:sz w:val="28"/>
          <w:szCs w:val="28"/>
        </w:rPr>
        <w:t>ов</w:t>
      </w:r>
      <w:r w:rsidRPr="00ED7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Новгородской области</w:t>
      </w:r>
      <w:r w:rsidRPr="00ED7D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 – Министерство</w:t>
      </w:r>
      <w:r w:rsidRPr="00ED7DBF">
        <w:rPr>
          <w:rFonts w:ascii="Times New Roman" w:eastAsia="Times New Roman" w:hAnsi="Times New Roman"/>
          <w:sz w:val="28"/>
          <w:szCs w:val="28"/>
        </w:rPr>
        <w:t xml:space="preserve"> финанс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ED7DBF">
        <w:rPr>
          <w:rFonts w:ascii="Times New Roman" w:eastAsia="Times New Roman" w:hAnsi="Times New Roman"/>
          <w:sz w:val="28"/>
          <w:szCs w:val="28"/>
        </w:rPr>
        <w:t xml:space="preserve">) </w:t>
      </w:r>
      <w:r w:rsidRPr="00ED7DBF">
        <w:rPr>
          <w:rFonts w:ascii="Times New Roman" w:hAnsi="Times New Roman"/>
          <w:sz w:val="28"/>
          <w:szCs w:val="28"/>
        </w:rPr>
        <w:t xml:space="preserve">главными распорядителями бюджетных средств </w:t>
      </w:r>
      <w:r>
        <w:rPr>
          <w:rFonts w:ascii="Times New Roman" w:hAnsi="Times New Roman"/>
          <w:sz w:val="28"/>
          <w:szCs w:val="28"/>
        </w:rPr>
        <w:t xml:space="preserve">Батецкого муниципального района </w:t>
      </w:r>
      <w:r w:rsidRPr="00ED7DBF">
        <w:rPr>
          <w:rFonts w:ascii="Times New Roman" w:eastAsia="Times New Roman" w:hAnsi="Times New Roman"/>
          <w:sz w:val="28"/>
          <w:szCs w:val="28"/>
        </w:rPr>
        <w:t xml:space="preserve">с использованием методики балльной оценки качества финансового менеджмента по </w:t>
      </w:r>
      <w:r w:rsidRPr="00ED7DBF">
        <w:rPr>
          <w:rFonts w:ascii="Times New Roman" w:hAnsi="Times New Roman"/>
          <w:sz w:val="28"/>
          <w:szCs w:val="28"/>
        </w:rPr>
        <w:t>следующим направлениям:</w:t>
      </w:r>
    </w:p>
    <w:p w14:paraId="134C2FA7" w14:textId="77777777" w:rsidR="00ED7DBF" w:rsidRPr="00ED7DBF" w:rsidRDefault="00ED7DBF" w:rsidP="00B403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Среднесрочное финансовое</w:t>
      </w:r>
      <w:r w:rsidRPr="00ED7DBF">
        <w:rPr>
          <w:sz w:val="28"/>
          <w:szCs w:val="28"/>
        </w:rPr>
        <w:t xml:space="preserve"> планирование;</w:t>
      </w:r>
    </w:p>
    <w:p w14:paraId="6CCCD4C9" w14:textId="77777777" w:rsidR="00ED7DBF" w:rsidRPr="00ED7DBF" w:rsidRDefault="00ED7DBF" w:rsidP="00B403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7DBF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по расходам;</w:t>
      </w:r>
    </w:p>
    <w:p w14:paraId="090C08ED" w14:textId="77777777" w:rsidR="00ED7DBF" w:rsidRPr="00ED7DBF" w:rsidRDefault="00ED7DBF" w:rsidP="00B403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Исполнение бюджета по доходам</w:t>
      </w:r>
      <w:r w:rsidRPr="00ED7DBF">
        <w:rPr>
          <w:sz w:val="28"/>
          <w:szCs w:val="28"/>
        </w:rPr>
        <w:t>;</w:t>
      </w:r>
    </w:p>
    <w:p w14:paraId="2DBF20C6" w14:textId="77777777" w:rsidR="00ED7DBF" w:rsidRPr="00ED7DBF" w:rsidRDefault="00ED7DBF" w:rsidP="00B4036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и отчетность;</w:t>
      </w:r>
    </w:p>
    <w:p w14:paraId="18591A02" w14:textId="77777777" w:rsidR="00ED7DBF" w:rsidRDefault="00ED7DBF" w:rsidP="00ED7DB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Публикация отдельной информации на сайтах ГРБС.</w:t>
      </w:r>
    </w:p>
    <w:p w14:paraId="2D477C8B" w14:textId="77777777" w:rsidR="00E25837" w:rsidRDefault="00E25837" w:rsidP="00E25837">
      <w:pPr>
        <w:pStyle w:val="a3"/>
        <w:spacing w:line="360" w:lineRule="auto"/>
        <w:ind w:left="927"/>
        <w:rPr>
          <w:sz w:val="28"/>
          <w:szCs w:val="28"/>
        </w:rPr>
      </w:pPr>
    </w:p>
    <w:p w14:paraId="2A81B4B8" w14:textId="77777777" w:rsidR="00E25837" w:rsidRPr="00E25837" w:rsidRDefault="00E25837" w:rsidP="00E25837">
      <w:pPr>
        <w:pStyle w:val="a3"/>
        <w:spacing w:line="360" w:lineRule="auto"/>
        <w:ind w:left="927"/>
        <w:jc w:val="center"/>
        <w:rPr>
          <w:b/>
          <w:sz w:val="28"/>
          <w:szCs w:val="28"/>
        </w:rPr>
      </w:pPr>
      <w:r w:rsidRPr="00E25837">
        <w:rPr>
          <w:b/>
          <w:sz w:val="28"/>
          <w:szCs w:val="28"/>
        </w:rPr>
        <w:t>Удельный вес групп показателей в итоговой оценке мониторинга качества финансового менеджмента</w:t>
      </w:r>
    </w:p>
    <w:p w14:paraId="4CFEB09D" w14:textId="77777777" w:rsidR="00E25837" w:rsidRPr="00ED7DBF" w:rsidRDefault="00E25837" w:rsidP="00E25837">
      <w:pPr>
        <w:pStyle w:val="a3"/>
        <w:spacing w:line="360" w:lineRule="auto"/>
        <w:ind w:left="927"/>
        <w:rPr>
          <w:sz w:val="28"/>
          <w:szCs w:val="28"/>
        </w:rPr>
      </w:pPr>
    </w:p>
    <w:p w14:paraId="61CA5299" w14:textId="77777777" w:rsidR="00194AE1" w:rsidRDefault="00194AE1" w:rsidP="009753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29CF9013" w14:textId="010E3021" w:rsidR="0097533E" w:rsidRDefault="00194AE1" w:rsidP="00194A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6B9B">
        <w:rPr>
          <w:rFonts w:ascii="Times New Roman" w:hAnsi="Times New Roman"/>
          <w:sz w:val="28"/>
          <w:szCs w:val="28"/>
        </w:rPr>
        <w:t xml:space="preserve"> </w:t>
      </w:r>
      <w:r w:rsidR="001C37C8" w:rsidRPr="00726AA8">
        <w:rPr>
          <w:noProof/>
          <w:sz w:val="40"/>
          <w:szCs w:val="40"/>
        </w:rPr>
        <w:drawing>
          <wp:inline distT="0" distB="0" distL="0" distR="0" wp14:anchorId="185916F7" wp14:editId="6269A0C5">
            <wp:extent cx="6162675" cy="4133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AD6F03D" w14:textId="1DE7DE76" w:rsidR="00205EC8" w:rsidRDefault="00205EC8" w:rsidP="00194AE1">
      <w:pPr>
        <w:jc w:val="both"/>
        <w:rPr>
          <w:rFonts w:ascii="Times New Roman" w:hAnsi="Times New Roman"/>
          <w:sz w:val="28"/>
          <w:szCs w:val="28"/>
        </w:rPr>
      </w:pPr>
    </w:p>
    <w:p w14:paraId="42CB04A4" w14:textId="64685008" w:rsidR="003B54E3" w:rsidRPr="003B54E3" w:rsidRDefault="003B54E3" w:rsidP="003B54E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54E3">
        <w:rPr>
          <w:rFonts w:ascii="Times New Roman" w:eastAsia="Times New Roman" w:hAnsi="Times New Roman"/>
          <w:sz w:val="28"/>
          <w:szCs w:val="28"/>
        </w:rPr>
        <w:t>Основными группами показателей в итоговой оценке качества финансового менеджмента являются:</w:t>
      </w:r>
      <w:r w:rsidR="00E32675" w:rsidRPr="00E32675">
        <w:rPr>
          <w:rFonts w:ascii="Times New Roman" w:eastAsia="Times New Roman" w:hAnsi="Times New Roman"/>
          <w:sz w:val="28"/>
          <w:szCs w:val="28"/>
        </w:rPr>
        <w:t xml:space="preserve"> </w:t>
      </w:r>
      <w:r w:rsidR="00E32675" w:rsidRPr="000130E2">
        <w:rPr>
          <w:rFonts w:ascii="Times New Roman" w:eastAsia="Times New Roman" w:hAnsi="Times New Roman"/>
          <w:sz w:val="28"/>
          <w:szCs w:val="28"/>
        </w:rPr>
        <w:t>«Среднесрочное финансовое планирование»</w:t>
      </w:r>
      <w:r w:rsidR="00E32675">
        <w:rPr>
          <w:rFonts w:ascii="Times New Roman" w:eastAsia="Times New Roman" w:hAnsi="Times New Roman"/>
          <w:sz w:val="28"/>
          <w:szCs w:val="28"/>
        </w:rPr>
        <w:t xml:space="preserve"> - </w:t>
      </w:r>
      <w:r w:rsidR="008A3083">
        <w:rPr>
          <w:rFonts w:ascii="Times New Roman" w:eastAsia="Times New Roman" w:hAnsi="Times New Roman"/>
          <w:sz w:val="28"/>
          <w:szCs w:val="28"/>
        </w:rPr>
        <w:t>37,5</w:t>
      </w:r>
      <w:r w:rsidR="00E32675">
        <w:rPr>
          <w:rFonts w:ascii="Times New Roman" w:eastAsia="Times New Roman" w:hAnsi="Times New Roman"/>
          <w:sz w:val="28"/>
          <w:szCs w:val="28"/>
        </w:rPr>
        <w:t>%</w:t>
      </w:r>
      <w:r w:rsidR="00E32675" w:rsidRPr="000130E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«Исполнение бюджета по расходам</w:t>
      </w:r>
      <w:r w:rsidRPr="003B54E3">
        <w:rPr>
          <w:rFonts w:ascii="Times New Roman" w:eastAsia="Times New Roman" w:hAnsi="Times New Roman"/>
          <w:sz w:val="28"/>
          <w:szCs w:val="28"/>
        </w:rPr>
        <w:t xml:space="preserve">» - </w:t>
      </w:r>
      <w:r w:rsidR="008A3083">
        <w:rPr>
          <w:rFonts w:ascii="Times New Roman" w:eastAsia="Times New Roman" w:hAnsi="Times New Roman"/>
          <w:sz w:val="28"/>
          <w:szCs w:val="28"/>
        </w:rPr>
        <w:t>33,7</w:t>
      </w:r>
      <w:r w:rsidRPr="003B54E3">
        <w:rPr>
          <w:rFonts w:ascii="Times New Roman" w:eastAsia="Times New Roman" w:hAnsi="Times New Roman"/>
          <w:sz w:val="28"/>
          <w:szCs w:val="28"/>
        </w:rPr>
        <w:t xml:space="preserve">%, </w:t>
      </w:r>
      <w:r w:rsidRPr="003B54E3">
        <w:rPr>
          <w:rFonts w:ascii="Times New Roman" w:eastAsia="Times New Roman" w:hAnsi="Times New Roman"/>
          <w:sz w:val="28"/>
          <w:szCs w:val="28"/>
        </w:rPr>
        <w:lastRenderedPageBreak/>
        <w:t>«Исполнение бюджета</w:t>
      </w:r>
      <w:r>
        <w:rPr>
          <w:rFonts w:ascii="Times New Roman" w:eastAsia="Times New Roman" w:hAnsi="Times New Roman"/>
          <w:sz w:val="28"/>
          <w:szCs w:val="28"/>
        </w:rPr>
        <w:t xml:space="preserve"> по доходам</w:t>
      </w:r>
      <w:r w:rsidRPr="003B54E3">
        <w:rPr>
          <w:rFonts w:ascii="Times New Roman" w:eastAsia="Times New Roman" w:hAnsi="Times New Roman"/>
          <w:sz w:val="28"/>
          <w:szCs w:val="28"/>
        </w:rPr>
        <w:t xml:space="preserve">» - </w:t>
      </w:r>
      <w:r w:rsidR="008A3083">
        <w:rPr>
          <w:rFonts w:ascii="Times New Roman" w:eastAsia="Times New Roman" w:hAnsi="Times New Roman"/>
          <w:sz w:val="28"/>
          <w:szCs w:val="28"/>
        </w:rPr>
        <w:t>12,9</w:t>
      </w:r>
      <w:r w:rsidRPr="003B54E3">
        <w:rPr>
          <w:rFonts w:ascii="Times New Roman" w:eastAsia="Times New Roman" w:hAnsi="Times New Roman"/>
          <w:sz w:val="28"/>
          <w:szCs w:val="28"/>
        </w:rPr>
        <w:t>%, «Учет и отчетность»</w:t>
      </w:r>
      <w:r w:rsidR="00E176DE">
        <w:rPr>
          <w:rFonts w:ascii="Times New Roman" w:eastAsia="Times New Roman" w:hAnsi="Times New Roman"/>
          <w:sz w:val="28"/>
          <w:szCs w:val="28"/>
        </w:rPr>
        <w:t xml:space="preserve"> - 6,</w:t>
      </w:r>
      <w:r w:rsidR="008A3083">
        <w:rPr>
          <w:rFonts w:ascii="Times New Roman" w:eastAsia="Times New Roman" w:hAnsi="Times New Roman"/>
          <w:sz w:val="28"/>
          <w:szCs w:val="28"/>
        </w:rPr>
        <w:t>1</w:t>
      </w:r>
      <w:r w:rsidR="00E176DE">
        <w:rPr>
          <w:rFonts w:ascii="Times New Roman" w:eastAsia="Times New Roman" w:hAnsi="Times New Roman"/>
          <w:sz w:val="28"/>
          <w:szCs w:val="28"/>
        </w:rPr>
        <w:t>%</w:t>
      </w:r>
      <w:r w:rsidRPr="003B54E3">
        <w:rPr>
          <w:rFonts w:ascii="Times New Roman" w:eastAsia="Times New Roman" w:hAnsi="Times New Roman"/>
          <w:sz w:val="28"/>
          <w:szCs w:val="28"/>
        </w:rPr>
        <w:t>, «</w:t>
      </w:r>
      <w:r w:rsidRPr="003B54E3">
        <w:rPr>
          <w:rFonts w:ascii="Times New Roman" w:hAnsi="Times New Roman"/>
          <w:sz w:val="28"/>
          <w:szCs w:val="28"/>
        </w:rPr>
        <w:t>Публикация отдельной информации на сайтах ГРБС</w:t>
      </w:r>
      <w:r w:rsidR="00D10912">
        <w:rPr>
          <w:rFonts w:ascii="Times New Roman" w:eastAsia="Times New Roman" w:hAnsi="Times New Roman"/>
          <w:sz w:val="28"/>
          <w:szCs w:val="28"/>
        </w:rPr>
        <w:t>»</w:t>
      </w:r>
      <w:r w:rsidRPr="003B54E3">
        <w:rPr>
          <w:rFonts w:ascii="Times New Roman" w:eastAsia="Times New Roman" w:hAnsi="Times New Roman"/>
          <w:sz w:val="28"/>
          <w:szCs w:val="28"/>
        </w:rPr>
        <w:t xml:space="preserve"> </w:t>
      </w:r>
      <w:r w:rsidR="008A3083">
        <w:rPr>
          <w:rFonts w:ascii="Times New Roman" w:eastAsia="Times New Roman" w:hAnsi="Times New Roman"/>
          <w:sz w:val="28"/>
          <w:szCs w:val="28"/>
        </w:rPr>
        <w:t>9,8</w:t>
      </w:r>
      <w:r w:rsidRPr="003B54E3">
        <w:rPr>
          <w:rFonts w:ascii="Times New Roman" w:eastAsia="Times New Roman" w:hAnsi="Times New Roman"/>
          <w:sz w:val="28"/>
          <w:szCs w:val="28"/>
        </w:rPr>
        <w:t>%.</w:t>
      </w:r>
    </w:p>
    <w:p w14:paraId="017DCF10" w14:textId="77777777" w:rsidR="003B54E3" w:rsidRPr="003B54E3" w:rsidRDefault="003B54E3" w:rsidP="003B54E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B54E3">
        <w:rPr>
          <w:rFonts w:ascii="Times New Roman" w:eastAsia="Times New Roman" w:hAnsi="Times New Roman"/>
          <w:sz w:val="28"/>
          <w:szCs w:val="28"/>
        </w:rPr>
        <w:t>При оценке качества финансового менеджмента важное место занимает наличие и качество подготовки правовых актов ГРБС, регулирующих внутренние процедуры подготовки бюджетных проектировок, составления, утверждения и ведения бюджетных смет подведомственных учреждений, проведения мониторинга результатов деятельности (результативности расходов, качества предоставляемых услуг, выполняемых работ) бюджетных и автономных учреждений.</w:t>
      </w:r>
    </w:p>
    <w:p w14:paraId="527D573A" w14:textId="77777777" w:rsidR="001349A9" w:rsidRPr="001349A9" w:rsidRDefault="001349A9" w:rsidP="001349A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349A9">
        <w:rPr>
          <w:rFonts w:ascii="Times New Roman" w:eastAsia="Times New Roman" w:hAnsi="Times New Roman"/>
          <w:sz w:val="28"/>
          <w:szCs w:val="28"/>
        </w:rPr>
        <w:t>По результатам Мониторинга определена итоговая балльная оценка качества финансового менеджмента каждого главного распорядителя бюджетных средств, сформирован их рейтинг, а также рассчитана средняя итоговая оценка качества финансового менеджмента.</w:t>
      </w:r>
    </w:p>
    <w:p w14:paraId="2D8831AD" w14:textId="2CA71B59" w:rsidR="001349A9" w:rsidRDefault="001349A9" w:rsidP="00134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A9">
        <w:rPr>
          <w:rFonts w:ascii="Times New Roman" w:hAnsi="Times New Roman"/>
          <w:sz w:val="28"/>
          <w:szCs w:val="28"/>
        </w:rPr>
        <w:t xml:space="preserve">Самый большой средний балл имеет группа показателей </w:t>
      </w:r>
      <w:r w:rsidR="00DA7734" w:rsidRPr="000130E2">
        <w:rPr>
          <w:rFonts w:ascii="Times New Roman" w:eastAsia="Times New Roman" w:hAnsi="Times New Roman"/>
          <w:sz w:val="28"/>
          <w:szCs w:val="28"/>
        </w:rPr>
        <w:t>«Среднесрочное финансовое планирование»</w:t>
      </w:r>
      <w:r w:rsidR="00DA7734">
        <w:rPr>
          <w:rFonts w:ascii="Times New Roman" w:eastAsia="Times New Roman" w:hAnsi="Times New Roman"/>
          <w:sz w:val="28"/>
          <w:szCs w:val="28"/>
        </w:rPr>
        <w:t xml:space="preserve"> - </w:t>
      </w:r>
      <w:r w:rsidR="00E176DE">
        <w:rPr>
          <w:rFonts w:ascii="Times New Roman" w:eastAsia="Times New Roman" w:hAnsi="Times New Roman"/>
          <w:sz w:val="28"/>
          <w:szCs w:val="28"/>
        </w:rPr>
        <w:t>56</w:t>
      </w:r>
      <w:r w:rsidR="00DA7734">
        <w:rPr>
          <w:rFonts w:ascii="Times New Roman" w:eastAsia="Times New Roman" w:hAnsi="Times New Roman"/>
          <w:sz w:val="28"/>
          <w:szCs w:val="28"/>
        </w:rPr>
        <w:t xml:space="preserve"> балл</w:t>
      </w:r>
      <w:r w:rsidR="00E176DE">
        <w:rPr>
          <w:rFonts w:ascii="Times New Roman" w:eastAsia="Times New Roman" w:hAnsi="Times New Roman"/>
          <w:sz w:val="28"/>
          <w:szCs w:val="28"/>
        </w:rPr>
        <w:t>ов</w:t>
      </w:r>
      <w:r w:rsidR="00DA7734">
        <w:rPr>
          <w:rFonts w:ascii="Times New Roman" w:eastAsia="Times New Roman" w:hAnsi="Times New Roman"/>
          <w:sz w:val="28"/>
          <w:szCs w:val="28"/>
        </w:rPr>
        <w:t>.</w:t>
      </w:r>
      <w:r w:rsidRPr="001349A9">
        <w:rPr>
          <w:rFonts w:ascii="Times New Roman" w:hAnsi="Times New Roman"/>
          <w:sz w:val="28"/>
          <w:szCs w:val="28"/>
        </w:rPr>
        <w:t xml:space="preserve"> Низший средний балл у группы показателей «</w:t>
      </w:r>
      <w:r w:rsidR="007C40E5">
        <w:rPr>
          <w:rFonts w:ascii="Times New Roman" w:hAnsi="Times New Roman"/>
          <w:sz w:val="28"/>
          <w:szCs w:val="28"/>
        </w:rPr>
        <w:t>Учет и отчетность</w:t>
      </w:r>
      <w:r w:rsidRPr="001349A9">
        <w:rPr>
          <w:rFonts w:ascii="Times New Roman" w:hAnsi="Times New Roman"/>
          <w:sz w:val="28"/>
          <w:szCs w:val="28"/>
        </w:rPr>
        <w:t xml:space="preserve">» – </w:t>
      </w:r>
      <w:r w:rsidR="007F06D8">
        <w:rPr>
          <w:rFonts w:ascii="Times New Roman" w:hAnsi="Times New Roman"/>
          <w:sz w:val="28"/>
          <w:szCs w:val="28"/>
        </w:rPr>
        <w:t>10</w:t>
      </w:r>
      <w:r w:rsidRPr="001349A9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Pr="001349A9">
        <w:rPr>
          <w:rFonts w:ascii="Times New Roman" w:hAnsi="Times New Roman"/>
          <w:sz w:val="28"/>
          <w:szCs w:val="28"/>
        </w:rPr>
        <w:t xml:space="preserve">. </w:t>
      </w:r>
    </w:p>
    <w:p w14:paraId="5CE6847A" w14:textId="4593570E" w:rsidR="006B1E77" w:rsidRDefault="006B1E77" w:rsidP="006B1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E77">
        <w:rPr>
          <w:rFonts w:ascii="Times New Roman" w:hAnsi="Times New Roman"/>
          <w:sz w:val="28"/>
          <w:szCs w:val="28"/>
        </w:rPr>
        <w:t>Средние оценки качества финансового менеджмента на 01 января 202</w:t>
      </w:r>
      <w:r w:rsidR="00292F2D">
        <w:rPr>
          <w:rFonts w:ascii="Times New Roman" w:hAnsi="Times New Roman"/>
          <w:sz w:val="28"/>
          <w:szCs w:val="28"/>
        </w:rPr>
        <w:t>4</w:t>
      </w:r>
      <w:r w:rsidRPr="006B1E77">
        <w:rPr>
          <w:rFonts w:ascii="Times New Roman" w:hAnsi="Times New Roman"/>
          <w:sz w:val="28"/>
          <w:szCs w:val="28"/>
        </w:rPr>
        <w:t xml:space="preserve"> года в разрезе групп показателей приведены далее.</w:t>
      </w:r>
    </w:p>
    <w:p w14:paraId="127512DE" w14:textId="77777777" w:rsidR="008D4AEB" w:rsidRDefault="008D4AEB" w:rsidP="006B1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617A42" w14:textId="76F91FD6" w:rsidR="008D4AEB" w:rsidRDefault="008D4AEB" w:rsidP="006B1E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AEB">
        <w:rPr>
          <w:rFonts w:ascii="Times New Roman" w:hAnsi="Times New Roman"/>
          <w:b/>
          <w:sz w:val="28"/>
          <w:szCs w:val="28"/>
        </w:rPr>
        <w:t>Средняя оценка качества финансового менеджмента в разрезе групп показателей на 01 января 202</w:t>
      </w:r>
      <w:r w:rsidR="00292F2D">
        <w:rPr>
          <w:rFonts w:ascii="Times New Roman" w:hAnsi="Times New Roman"/>
          <w:b/>
          <w:sz w:val="28"/>
          <w:szCs w:val="28"/>
        </w:rPr>
        <w:t>4</w:t>
      </w:r>
      <w:r w:rsidRPr="008D4AEB">
        <w:rPr>
          <w:rFonts w:ascii="Times New Roman" w:hAnsi="Times New Roman"/>
          <w:b/>
          <w:sz w:val="28"/>
          <w:szCs w:val="28"/>
        </w:rPr>
        <w:t xml:space="preserve"> года, баллов</w:t>
      </w:r>
    </w:p>
    <w:p w14:paraId="269C04E1" w14:textId="77777777" w:rsidR="00762256" w:rsidRPr="008D4AEB" w:rsidRDefault="00762256" w:rsidP="006B1E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73E97B" w14:textId="0FD39848" w:rsidR="006B1E77" w:rsidRPr="006B1E77" w:rsidRDefault="00150BE0" w:rsidP="006B1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385B688" wp14:editId="10A913AB">
            <wp:extent cx="5705475" cy="366712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BD0E0EF" w14:textId="77777777" w:rsidR="0094357C" w:rsidRPr="001349A9" w:rsidRDefault="0094357C" w:rsidP="00134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521513" w14:textId="77777777" w:rsidR="003B54E3" w:rsidRPr="005B646E" w:rsidRDefault="003B54E3" w:rsidP="00194AE1">
      <w:pPr>
        <w:jc w:val="both"/>
        <w:rPr>
          <w:sz w:val="28"/>
          <w:szCs w:val="28"/>
        </w:rPr>
      </w:pPr>
    </w:p>
    <w:p w14:paraId="22FF7B75" w14:textId="66B95B4D" w:rsidR="005B646E" w:rsidRPr="005B646E" w:rsidRDefault="005B646E" w:rsidP="005B6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>Средняя итоговая оценка на 01 января 202</w:t>
      </w:r>
      <w:r w:rsidR="00890C48">
        <w:rPr>
          <w:rFonts w:ascii="Times New Roman" w:hAnsi="Times New Roman"/>
          <w:sz w:val="28"/>
          <w:szCs w:val="28"/>
        </w:rPr>
        <w:t>4</w:t>
      </w:r>
      <w:r w:rsidRPr="005B646E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4</w:t>
      </w:r>
      <w:r w:rsidRPr="005B646E">
        <w:rPr>
          <w:rFonts w:ascii="Times New Roman" w:hAnsi="Times New Roman"/>
          <w:sz w:val="28"/>
          <w:szCs w:val="28"/>
        </w:rPr>
        <w:t xml:space="preserve"> оцениваемым ГРБС составила </w:t>
      </w:r>
      <w:r w:rsidR="00890C48">
        <w:rPr>
          <w:rFonts w:ascii="Times New Roman" w:hAnsi="Times New Roman"/>
          <w:sz w:val="28"/>
          <w:szCs w:val="28"/>
        </w:rPr>
        <w:t>1</w:t>
      </w:r>
      <w:r w:rsidR="008735B1">
        <w:rPr>
          <w:rFonts w:ascii="Times New Roman" w:hAnsi="Times New Roman"/>
          <w:sz w:val="28"/>
          <w:szCs w:val="28"/>
        </w:rPr>
        <w:t>63</w:t>
      </w:r>
      <w:r w:rsidRPr="005B646E">
        <w:rPr>
          <w:rFonts w:ascii="Times New Roman" w:hAnsi="Times New Roman"/>
          <w:sz w:val="28"/>
          <w:szCs w:val="28"/>
        </w:rPr>
        <w:t xml:space="preserve"> балл</w:t>
      </w:r>
      <w:r w:rsidR="008A3083">
        <w:rPr>
          <w:rFonts w:ascii="Times New Roman" w:hAnsi="Times New Roman"/>
          <w:sz w:val="28"/>
          <w:szCs w:val="28"/>
        </w:rPr>
        <w:t>а</w:t>
      </w:r>
      <w:r w:rsidRPr="005B646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Pr="005B646E">
        <w:rPr>
          <w:rFonts w:ascii="Times New Roman" w:hAnsi="Times New Roman"/>
          <w:sz w:val="28"/>
          <w:szCs w:val="28"/>
        </w:rPr>
        <w:t xml:space="preserve">00-балльной шкале. </w:t>
      </w:r>
    </w:p>
    <w:p w14:paraId="3E2FED3A" w14:textId="77777777" w:rsidR="005B646E" w:rsidRPr="005B646E" w:rsidRDefault="005B646E" w:rsidP="005B6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>На основании оценки каждому ГРБС присваивается один из трех уровней качества финансового менеджмента:</w:t>
      </w:r>
    </w:p>
    <w:p w14:paraId="4FACACFA" w14:textId="77777777" w:rsidR="005B646E" w:rsidRPr="005B646E" w:rsidRDefault="005B646E" w:rsidP="005B646E">
      <w:pPr>
        <w:tabs>
          <w:tab w:val="left" w:pos="50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 xml:space="preserve">Высокий уровень качества </w:t>
      </w:r>
      <w:proofErr w:type="gramStart"/>
      <w:r w:rsidRPr="005B646E">
        <w:rPr>
          <w:rFonts w:ascii="Times New Roman" w:hAnsi="Times New Roman"/>
          <w:sz w:val="28"/>
          <w:szCs w:val="28"/>
        </w:rPr>
        <w:t>-  100</w:t>
      </w:r>
      <w:proofErr w:type="gramEnd"/>
      <w:r w:rsidRPr="005B646E">
        <w:rPr>
          <w:rFonts w:ascii="Times New Roman" w:hAnsi="Times New Roman"/>
          <w:sz w:val="28"/>
          <w:szCs w:val="28"/>
        </w:rPr>
        <w:t xml:space="preserve"> ≥ Хур ≥ 90</w:t>
      </w:r>
    </w:p>
    <w:p w14:paraId="2E74C3AB" w14:textId="77777777" w:rsidR="005B646E" w:rsidRPr="005B646E" w:rsidRDefault="005B646E" w:rsidP="005B646E">
      <w:pPr>
        <w:tabs>
          <w:tab w:val="left" w:pos="50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 xml:space="preserve">Средний уровень качества -   </w:t>
      </w:r>
      <w:proofErr w:type="gramStart"/>
      <w:r w:rsidRPr="005B646E">
        <w:rPr>
          <w:rFonts w:ascii="Times New Roman" w:hAnsi="Times New Roman"/>
          <w:sz w:val="28"/>
          <w:szCs w:val="28"/>
        </w:rPr>
        <w:t>90 &gt;</w:t>
      </w:r>
      <w:proofErr w:type="gramEnd"/>
      <w:r w:rsidRPr="005B646E">
        <w:rPr>
          <w:rFonts w:ascii="Times New Roman" w:hAnsi="Times New Roman"/>
          <w:sz w:val="28"/>
          <w:szCs w:val="28"/>
        </w:rPr>
        <w:t xml:space="preserve"> Хур ≥ 60</w:t>
      </w:r>
    </w:p>
    <w:p w14:paraId="50835096" w14:textId="77777777" w:rsidR="005B646E" w:rsidRPr="005B646E" w:rsidRDefault="005B646E" w:rsidP="005B646E">
      <w:pPr>
        <w:tabs>
          <w:tab w:val="left" w:pos="50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 xml:space="preserve">Низкий уровень качества -   </w:t>
      </w:r>
      <w:proofErr w:type="gramStart"/>
      <w:r w:rsidRPr="005B646E">
        <w:rPr>
          <w:rFonts w:ascii="Times New Roman" w:hAnsi="Times New Roman"/>
          <w:sz w:val="28"/>
          <w:szCs w:val="28"/>
        </w:rPr>
        <w:t>60 &gt;</w:t>
      </w:r>
      <w:proofErr w:type="gramEnd"/>
      <w:r w:rsidRPr="005B646E">
        <w:rPr>
          <w:rFonts w:ascii="Times New Roman" w:hAnsi="Times New Roman"/>
          <w:sz w:val="28"/>
          <w:szCs w:val="28"/>
        </w:rPr>
        <w:t xml:space="preserve"> Хур ≥ 0,</w:t>
      </w:r>
    </w:p>
    <w:p w14:paraId="58B75FAF" w14:textId="77777777" w:rsidR="005B646E" w:rsidRPr="005B646E" w:rsidRDefault="005B646E" w:rsidP="005B646E">
      <w:pPr>
        <w:tabs>
          <w:tab w:val="left" w:pos="50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>где Х</w:t>
      </w:r>
      <w:r w:rsidRPr="005B646E">
        <w:rPr>
          <w:rFonts w:ascii="Times New Roman" w:hAnsi="Times New Roman"/>
          <w:sz w:val="28"/>
          <w:szCs w:val="28"/>
          <w:vertAlign w:val="subscript"/>
        </w:rPr>
        <w:t>ур</w:t>
      </w:r>
      <w:r w:rsidRPr="005B646E">
        <w:rPr>
          <w:rFonts w:ascii="Times New Roman" w:hAnsi="Times New Roman"/>
          <w:sz w:val="28"/>
          <w:szCs w:val="28"/>
        </w:rPr>
        <w:t xml:space="preserve"> (характеристика уровня качества) рассчитывается как:</w:t>
      </w:r>
    </w:p>
    <w:p w14:paraId="0DDEAA93" w14:textId="77777777" w:rsidR="005B646E" w:rsidRPr="005B646E" w:rsidRDefault="005B646E" w:rsidP="005B646E">
      <w:pPr>
        <w:tabs>
          <w:tab w:val="left" w:pos="50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>Итоговый балл/Мах возможный балл*100%.</w:t>
      </w:r>
    </w:p>
    <w:p w14:paraId="32426F64" w14:textId="77777777" w:rsidR="005B646E" w:rsidRDefault="005B646E" w:rsidP="005B6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46E">
        <w:rPr>
          <w:rFonts w:ascii="Times New Roman" w:hAnsi="Times New Roman"/>
          <w:sz w:val="28"/>
          <w:szCs w:val="28"/>
        </w:rPr>
        <w:t xml:space="preserve">По результатам мониторинга всем главным распорядителям бюджетных средств </w:t>
      </w:r>
      <w:r w:rsidR="00687169">
        <w:rPr>
          <w:rFonts w:ascii="Times New Roman" w:hAnsi="Times New Roman"/>
          <w:sz w:val="28"/>
          <w:szCs w:val="28"/>
        </w:rPr>
        <w:t xml:space="preserve">Батецкого муниципального района </w:t>
      </w:r>
      <w:r w:rsidRPr="005B646E">
        <w:rPr>
          <w:rFonts w:ascii="Times New Roman" w:hAnsi="Times New Roman"/>
          <w:sz w:val="28"/>
          <w:szCs w:val="28"/>
        </w:rPr>
        <w:t xml:space="preserve">присвоена «средняя» оценка уровня качества финансового менеджмента. Места рейтинга данной категории распределены следующим </w:t>
      </w:r>
      <w:r w:rsidRPr="00687169">
        <w:rPr>
          <w:rFonts w:ascii="Times New Roman" w:hAnsi="Times New Roman"/>
          <w:sz w:val="28"/>
          <w:szCs w:val="28"/>
        </w:rPr>
        <w:t>образом:</w:t>
      </w:r>
    </w:p>
    <w:p w14:paraId="39B82CB1" w14:textId="77777777" w:rsidR="00687169" w:rsidRPr="00687169" w:rsidRDefault="00687169" w:rsidP="005B64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74236" w14:textId="14AD22C7" w:rsidR="005B646E" w:rsidRDefault="0067043A" w:rsidP="00194AE1">
      <w:pPr>
        <w:jc w:val="both"/>
        <w:rPr>
          <w:rFonts w:ascii="Times New Roman" w:hAnsi="Times New Roman"/>
          <w:sz w:val="28"/>
          <w:szCs w:val="28"/>
        </w:rPr>
      </w:pPr>
      <w:r w:rsidRPr="0067043A">
        <w:rPr>
          <w:rFonts w:ascii="Times New Roman" w:hAnsi="Times New Roman"/>
          <w:sz w:val="28"/>
          <w:szCs w:val="28"/>
        </w:rPr>
        <w:t xml:space="preserve">1 место – </w:t>
      </w:r>
      <w:r>
        <w:rPr>
          <w:rFonts w:ascii="Times New Roman" w:hAnsi="Times New Roman"/>
          <w:sz w:val="28"/>
          <w:szCs w:val="28"/>
        </w:rPr>
        <w:t>Комитет финансов Администрации Ба</w:t>
      </w:r>
      <w:r w:rsidR="00AA733E">
        <w:rPr>
          <w:rFonts w:ascii="Times New Roman" w:hAnsi="Times New Roman"/>
          <w:sz w:val="28"/>
          <w:szCs w:val="28"/>
        </w:rPr>
        <w:t xml:space="preserve">тецкого муниципального района </w:t>
      </w:r>
      <w:r w:rsidR="008A3083">
        <w:rPr>
          <w:rFonts w:ascii="Times New Roman" w:hAnsi="Times New Roman"/>
          <w:sz w:val="28"/>
          <w:szCs w:val="28"/>
        </w:rPr>
        <w:t xml:space="preserve">и Администрация Батецкого муниципального района </w:t>
      </w:r>
      <w:r w:rsidR="00AA733E">
        <w:rPr>
          <w:rFonts w:ascii="Times New Roman" w:hAnsi="Times New Roman"/>
          <w:sz w:val="28"/>
          <w:szCs w:val="28"/>
        </w:rPr>
        <w:t>(</w:t>
      </w:r>
      <w:r w:rsidR="00282840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%);</w:t>
      </w:r>
    </w:p>
    <w:p w14:paraId="511BEE74" w14:textId="0899381D" w:rsidR="00282840" w:rsidRDefault="00282840" w:rsidP="00194A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мести – Администрация Батецкого муниципального района (82%);</w:t>
      </w:r>
    </w:p>
    <w:p w14:paraId="6AD40F7F" w14:textId="5269D6D3" w:rsidR="00286F3A" w:rsidRDefault="00282840" w:rsidP="00194A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6F3A">
        <w:rPr>
          <w:rFonts w:ascii="Times New Roman" w:hAnsi="Times New Roman"/>
          <w:sz w:val="28"/>
          <w:szCs w:val="28"/>
        </w:rPr>
        <w:t xml:space="preserve"> место –</w:t>
      </w:r>
      <w:r w:rsidR="008A3083">
        <w:rPr>
          <w:rFonts w:ascii="Times New Roman" w:hAnsi="Times New Roman"/>
          <w:sz w:val="28"/>
          <w:szCs w:val="28"/>
        </w:rPr>
        <w:t xml:space="preserve"> </w:t>
      </w:r>
      <w:r w:rsidR="00286F3A">
        <w:rPr>
          <w:rFonts w:ascii="Times New Roman" w:hAnsi="Times New Roman"/>
          <w:sz w:val="28"/>
          <w:szCs w:val="28"/>
        </w:rPr>
        <w:t xml:space="preserve">Комитет культуры и туризма Администрации Батецкого муниципального района </w:t>
      </w:r>
      <w:r w:rsidR="008A3083">
        <w:rPr>
          <w:rFonts w:ascii="Times New Roman" w:hAnsi="Times New Roman"/>
          <w:sz w:val="28"/>
          <w:szCs w:val="28"/>
        </w:rPr>
        <w:t xml:space="preserve">и Комитет образования Администрация Батецкого муниципального района </w:t>
      </w:r>
      <w:r w:rsidR="00286F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78</w:t>
      </w:r>
      <w:r w:rsidR="00286F3A">
        <w:rPr>
          <w:rFonts w:ascii="Times New Roman" w:hAnsi="Times New Roman"/>
          <w:sz w:val="28"/>
          <w:szCs w:val="28"/>
        </w:rPr>
        <w:t>%).</w:t>
      </w:r>
    </w:p>
    <w:p w14:paraId="52A5C238" w14:textId="77777777" w:rsidR="00744CFA" w:rsidRDefault="00744CFA" w:rsidP="00194AE1">
      <w:pPr>
        <w:jc w:val="both"/>
        <w:rPr>
          <w:rFonts w:ascii="Times New Roman" w:hAnsi="Times New Roman"/>
          <w:sz w:val="28"/>
          <w:szCs w:val="28"/>
        </w:rPr>
      </w:pPr>
    </w:p>
    <w:p w14:paraId="3C18CE4A" w14:textId="102FF508" w:rsidR="00DA0BA9" w:rsidRDefault="00DA0BA9" w:rsidP="00DA0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A9">
        <w:rPr>
          <w:rFonts w:ascii="Times New Roman" w:hAnsi="Times New Roman"/>
          <w:sz w:val="28"/>
          <w:szCs w:val="28"/>
        </w:rPr>
        <w:t xml:space="preserve">Итоговые оценки качества финансового менеджмента, а также рейтинг главных администраторов бюджетных средств </w:t>
      </w:r>
      <w:r w:rsidR="00CB6171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DA0BA9">
        <w:rPr>
          <w:rFonts w:ascii="Times New Roman" w:hAnsi="Times New Roman"/>
          <w:sz w:val="28"/>
          <w:szCs w:val="28"/>
        </w:rPr>
        <w:t xml:space="preserve"> представлены в приложени</w:t>
      </w:r>
      <w:r w:rsidR="00CB6171">
        <w:rPr>
          <w:rFonts w:ascii="Times New Roman" w:hAnsi="Times New Roman"/>
          <w:sz w:val="28"/>
          <w:szCs w:val="28"/>
        </w:rPr>
        <w:t>и</w:t>
      </w:r>
      <w:r w:rsidRPr="00DA0BA9">
        <w:rPr>
          <w:rFonts w:ascii="Times New Roman" w:hAnsi="Times New Roman"/>
          <w:sz w:val="28"/>
          <w:szCs w:val="28"/>
        </w:rPr>
        <w:t xml:space="preserve"> 1, к Отчету о результатах мониторинга качества финансового менеджмента ГРБС на 01 января 202</w:t>
      </w:r>
      <w:r w:rsidR="008A3083">
        <w:rPr>
          <w:rFonts w:ascii="Times New Roman" w:hAnsi="Times New Roman"/>
          <w:sz w:val="28"/>
          <w:szCs w:val="28"/>
        </w:rPr>
        <w:t>4</w:t>
      </w:r>
      <w:r w:rsidRPr="00DA0BA9">
        <w:rPr>
          <w:rFonts w:ascii="Times New Roman" w:hAnsi="Times New Roman"/>
          <w:sz w:val="28"/>
          <w:szCs w:val="28"/>
        </w:rPr>
        <w:t xml:space="preserve"> года.</w:t>
      </w:r>
    </w:p>
    <w:p w14:paraId="1EAEAE99" w14:textId="77777777" w:rsidR="002414BE" w:rsidRPr="00DA0BA9" w:rsidRDefault="002414BE" w:rsidP="00DA0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CE286" w14:textId="77777777" w:rsidR="00DA0BA9" w:rsidRPr="0067043A" w:rsidRDefault="00DA0BA9" w:rsidP="00194AE1">
      <w:pPr>
        <w:jc w:val="both"/>
        <w:rPr>
          <w:sz w:val="28"/>
          <w:szCs w:val="28"/>
        </w:rPr>
      </w:pPr>
    </w:p>
    <w:sectPr w:rsidR="00DA0BA9" w:rsidRPr="0067043A" w:rsidSect="0025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60CB7"/>
    <w:multiLevelType w:val="hybridMultilevel"/>
    <w:tmpl w:val="90B04010"/>
    <w:lvl w:ilvl="0" w:tplc="BC0E1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15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3E"/>
    <w:rsid w:val="000130E2"/>
    <w:rsid w:val="000E3BB6"/>
    <w:rsid w:val="001349A9"/>
    <w:rsid w:val="00150BE0"/>
    <w:rsid w:val="00194AE1"/>
    <w:rsid w:val="001C37C8"/>
    <w:rsid w:val="001E45DB"/>
    <w:rsid w:val="00205EC8"/>
    <w:rsid w:val="00222C85"/>
    <w:rsid w:val="002414BE"/>
    <w:rsid w:val="00244761"/>
    <w:rsid w:val="00256477"/>
    <w:rsid w:val="00282840"/>
    <w:rsid w:val="00286F3A"/>
    <w:rsid w:val="00292F2D"/>
    <w:rsid w:val="002A65EA"/>
    <w:rsid w:val="003735BC"/>
    <w:rsid w:val="00377296"/>
    <w:rsid w:val="003B54E3"/>
    <w:rsid w:val="003D5948"/>
    <w:rsid w:val="003E60EC"/>
    <w:rsid w:val="00420DE0"/>
    <w:rsid w:val="004367A0"/>
    <w:rsid w:val="00464BD0"/>
    <w:rsid w:val="00466282"/>
    <w:rsid w:val="004C466E"/>
    <w:rsid w:val="005149B7"/>
    <w:rsid w:val="005B646E"/>
    <w:rsid w:val="005C6C65"/>
    <w:rsid w:val="00615E45"/>
    <w:rsid w:val="00666B9B"/>
    <w:rsid w:val="0067043A"/>
    <w:rsid w:val="0067157C"/>
    <w:rsid w:val="00687169"/>
    <w:rsid w:val="006939BD"/>
    <w:rsid w:val="006B1E77"/>
    <w:rsid w:val="006D0B6D"/>
    <w:rsid w:val="006D75D8"/>
    <w:rsid w:val="00726AA8"/>
    <w:rsid w:val="00744CFA"/>
    <w:rsid w:val="00762256"/>
    <w:rsid w:val="007C3758"/>
    <w:rsid w:val="007C40E5"/>
    <w:rsid w:val="007E1951"/>
    <w:rsid w:val="007F06D8"/>
    <w:rsid w:val="00825D1C"/>
    <w:rsid w:val="00850196"/>
    <w:rsid w:val="008735B1"/>
    <w:rsid w:val="00890C48"/>
    <w:rsid w:val="008A3083"/>
    <w:rsid w:val="008D4AEB"/>
    <w:rsid w:val="0094357C"/>
    <w:rsid w:val="00950195"/>
    <w:rsid w:val="00952B15"/>
    <w:rsid w:val="00975141"/>
    <w:rsid w:val="0097533E"/>
    <w:rsid w:val="00991B4A"/>
    <w:rsid w:val="009A403C"/>
    <w:rsid w:val="009D18F9"/>
    <w:rsid w:val="00A02806"/>
    <w:rsid w:val="00AA733E"/>
    <w:rsid w:val="00B40362"/>
    <w:rsid w:val="00C460C9"/>
    <w:rsid w:val="00C75733"/>
    <w:rsid w:val="00C86576"/>
    <w:rsid w:val="00CB6171"/>
    <w:rsid w:val="00CE44B0"/>
    <w:rsid w:val="00D10912"/>
    <w:rsid w:val="00D522CA"/>
    <w:rsid w:val="00DA0BA9"/>
    <w:rsid w:val="00DA7734"/>
    <w:rsid w:val="00DC5734"/>
    <w:rsid w:val="00DD44AF"/>
    <w:rsid w:val="00E176DE"/>
    <w:rsid w:val="00E25837"/>
    <w:rsid w:val="00E32675"/>
    <w:rsid w:val="00E47459"/>
    <w:rsid w:val="00E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0E95"/>
  <w15:chartTrackingRefBased/>
  <w15:docId w15:val="{BE8A6F81-0193-4743-841B-485E9AD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BF"/>
    <w:pPr>
      <w:spacing w:after="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176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76D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76DE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76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76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49451388888888881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2ED7-48AB-87E6-F44B02E147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D7-48AB-87E6-F44B02E147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ED7-48AB-87E6-F44B02E147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D7-48AB-87E6-F44B02E1473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ED7-48AB-87E6-F44B02E1473C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D7-48AB-87E6-F44B02E1473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D7-48AB-87E6-F44B02E1473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D7-48AB-87E6-F44B02E1473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D7-48AB-87E6-F44B02E1473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D7-48AB-87E6-F44B02E147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Среднесрочное финансовое планирование</c:v>
                </c:pt>
                <c:pt idx="1">
                  <c:v>Исполнение бюджета по расходам</c:v>
                </c:pt>
                <c:pt idx="2">
                  <c:v>Исполнение бюджета по доходам</c:v>
                </c:pt>
                <c:pt idx="3">
                  <c:v>Учет и отчетность</c:v>
                </c:pt>
                <c:pt idx="4">
                  <c:v>Публикация отдельной информации на сайтах ГРБС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37.5</c:v>
                </c:pt>
                <c:pt idx="1">
                  <c:v>33.700000000000003</c:v>
                </c:pt>
                <c:pt idx="2">
                  <c:v>12.9</c:v>
                </c:pt>
                <c:pt idx="3">
                  <c:v>6.1</c:v>
                </c:pt>
                <c:pt idx="4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D7-48AB-87E6-F44B02E14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914EAF-FD2C-4616-ABAE-399ACECA15D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0B016B4-AB98-458B-96D0-6BA600E3D5CA}">
      <dgm:prSet phldrT="[Текст]"/>
      <dgm:spPr/>
      <dgm:t>
        <a:bodyPr/>
        <a:lstStyle/>
        <a:p>
          <a:r>
            <a:rPr lang="ru-RU">
              <a:solidFill>
                <a:srgbClr val="92D050"/>
              </a:solidFill>
            </a:rPr>
            <a:t>Публикация отдельной инфоримации на сайтах ГРБС 16 баллов</a:t>
          </a:r>
        </a:p>
        <a:p>
          <a:endParaRPr lang="ru-RU"/>
        </a:p>
      </dgm:t>
    </dgm:pt>
    <dgm:pt modelId="{80263CFF-9D10-4A28-A15B-D03CE51C281F}" type="parTrans" cxnId="{E5708F43-16A6-47E2-884A-940A0A9D81B9}">
      <dgm:prSet/>
      <dgm:spPr/>
      <dgm:t>
        <a:bodyPr/>
        <a:lstStyle/>
        <a:p>
          <a:endParaRPr lang="ru-RU"/>
        </a:p>
      </dgm:t>
    </dgm:pt>
    <dgm:pt modelId="{7534FF56-9CC5-498D-8743-66C99D9004D4}" type="sibTrans" cxnId="{E5708F43-16A6-47E2-884A-940A0A9D81B9}">
      <dgm:prSet/>
      <dgm:spPr/>
      <dgm:t>
        <a:bodyPr/>
        <a:lstStyle/>
        <a:p>
          <a:endParaRPr lang="ru-RU"/>
        </a:p>
      </dgm:t>
    </dgm:pt>
    <dgm:pt modelId="{7EA57D12-8383-4353-88EB-A2C2D8F74B42}">
      <dgm:prSet phldrT="[Текст]"/>
      <dgm:spPr/>
      <dgm:t>
        <a:bodyPr/>
        <a:lstStyle/>
        <a:p>
          <a:r>
            <a:rPr lang="ru-RU">
              <a:solidFill>
                <a:srgbClr val="FFFF00"/>
              </a:solidFill>
            </a:rPr>
            <a:t>Среднесрочное финансовое планирование 61 балл</a:t>
          </a:r>
        </a:p>
      </dgm:t>
    </dgm:pt>
    <dgm:pt modelId="{F44EDC9B-56A3-4F4E-93CF-C60401A977B1}" type="parTrans" cxnId="{4A0D623A-A837-4389-9C48-1770F61D376B}">
      <dgm:prSet/>
      <dgm:spPr/>
      <dgm:t>
        <a:bodyPr/>
        <a:lstStyle/>
        <a:p>
          <a:endParaRPr lang="ru-RU"/>
        </a:p>
      </dgm:t>
    </dgm:pt>
    <dgm:pt modelId="{81415481-0842-481B-B721-EF604351CFA3}" type="sibTrans" cxnId="{4A0D623A-A837-4389-9C48-1770F61D376B}">
      <dgm:prSet/>
      <dgm:spPr/>
      <dgm:t>
        <a:bodyPr/>
        <a:lstStyle/>
        <a:p>
          <a:endParaRPr lang="ru-RU"/>
        </a:p>
      </dgm:t>
    </dgm:pt>
    <dgm:pt modelId="{968E6ADD-66C3-4192-90A5-CDE8610C8B2E}">
      <dgm:prSet phldrT="[Текст]"/>
      <dgm:spPr/>
      <dgm:t>
        <a:bodyPr/>
        <a:lstStyle/>
        <a:p>
          <a:r>
            <a:rPr lang="ru-RU">
              <a:solidFill>
                <a:srgbClr val="00B050"/>
              </a:solidFill>
            </a:rPr>
            <a:t>Исполнение по расходам 55 баллов</a:t>
          </a:r>
        </a:p>
        <a:p>
          <a:endParaRPr lang="ru-RU"/>
        </a:p>
      </dgm:t>
    </dgm:pt>
    <dgm:pt modelId="{2FA9B02E-130D-444C-A10C-F70F3DA37CCE}" type="parTrans" cxnId="{A3570BC5-07EF-4A99-9FC9-ED9D3072AEB8}">
      <dgm:prSet/>
      <dgm:spPr/>
      <dgm:t>
        <a:bodyPr/>
        <a:lstStyle/>
        <a:p>
          <a:endParaRPr lang="ru-RU"/>
        </a:p>
      </dgm:t>
    </dgm:pt>
    <dgm:pt modelId="{7F0818C1-799D-4A6C-BC9C-7FE425820C7C}" type="sibTrans" cxnId="{A3570BC5-07EF-4A99-9FC9-ED9D3072AEB8}">
      <dgm:prSet/>
      <dgm:spPr/>
      <dgm:t>
        <a:bodyPr/>
        <a:lstStyle/>
        <a:p>
          <a:endParaRPr lang="ru-RU"/>
        </a:p>
      </dgm:t>
    </dgm:pt>
    <dgm:pt modelId="{197F3B28-88A6-4050-A41E-B443351F13F8}">
      <dgm:prSet phldrT="[Текст]"/>
      <dgm:spPr/>
      <dgm:t>
        <a:bodyPr/>
        <a:lstStyle/>
        <a:p>
          <a:r>
            <a:rPr lang="ru-RU">
              <a:solidFill>
                <a:srgbClr val="00B0F0"/>
              </a:solidFill>
            </a:rPr>
            <a:t>Исполнение бюджета по доходам 21 балл</a:t>
          </a:r>
        </a:p>
        <a:p>
          <a:endParaRPr lang="ru-RU"/>
        </a:p>
      </dgm:t>
    </dgm:pt>
    <dgm:pt modelId="{42D3380E-142B-41C6-AA2C-4D42C663E071}" type="parTrans" cxnId="{67B463DC-978F-4F2B-A46C-4B401FF0E1A2}">
      <dgm:prSet/>
      <dgm:spPr/>
      <dgm:t>
        <a:bodyPr/>
        <a:lstStyle/>
        <a:p>
          <a:endParaRPr lang="ru-RU"/>
        </a:p>
      </dgm:t>
    </dgm:pt>
    <dgm:pt modelId="{0F0EDAD7-AF6A-41EA-BA3B-F46BC8729944}" type="sibTrans" cxnId="{67B463DC-978F-4F2B-A46C-4B401FF0E1A2}">
      <dgm:prSet/>
      <dgm:spPr/>
      <dgm:t>
        <a:bodyPr/>
        <a:lstStyle/>
        <a:p>
          <a:endParaRPr lang="ru-RU"/>
        </a:p>
      </dgm:t>
    </dgm:pt>
    <dgm:pt modelId="{C062DB1D-3821-46AF-A431-445F13B1653E}">
      <dgm:prSet phldrT="[Текст]"/>
      <dgm:spPr/>
      <dgm:t>
        <a:bodyPr/>
        <a:lstStyle/>
        <a:p>
          <a:r>
            <a:rPr lang="ru-RU">
              <a:solidFill>
                <a:srgbClr val="FFC000"/>
              </a:solidFill>
            </a:rPr>
            <a:t>Учет и отчетность 10 баллов</a:t>
          </a:r>
        </a:p>
        <a:p>
          <a:endParaRPr lang="ru-RU"/>
        </a:p>
      </dgm:t>
    </dgm:pt>
    <dgm:pt modelId="{B50A356B-99C7-4782-AD2B-7BCF63D74D78}" type="parTrans" cxnId="{BAF73232-56F3-4442-B5FD-F03E75DD76EE}">
      <dgm:prSet/>
      <dgm:spPr/>
      <dgm:t>
        <a:bodyPr/>
        <a:lstStyle/>
        <a:p>
          <a:endParaRPr lang="ru-RU"/>
        </a:p>
      </dgm:t>
    </dgm:pt>
    <dgm:pt modelId="{D135F095-53A5-46AE-8E41-897AE4FAE1A7}" type="sibTrans" cxnId="{BAF73232-56F3-4442-B5FD-F03E75DD76EE}">
      <dgm:prSet/>
      <dgm:spPr/>
      <dgm:t>
        <a:bodyPr/>
        <a:lstStyle/>
        <a:p>
          <a:endParaRPr lang="ru-RU"/>
        </a:p>
      </dgm:t>
    </dgm:pt>
    <dgm:pt modelId="{E966532B-8228-447A-A92B-2759670AEB74}" type="pres">
      <dgm:prSet presAssocID="{ED914EAF-FD2C-4616-ABAE-399ACECA15DA}" presName="diagram" presStyleCnt="0">
        <dgm:presLayoutVars>
          <dgm:dir/>
          <dgm:resizeHandles val="exact"/>
        </dgm:presLayoutVars>
      </dgm:prSet>
      <dgm:spPr/>
    </dgm:pt>
    <dgm:pt modelId="{6635C4D1-3310-4BFE-B68F-719F63194129}" type="pres">
      <dgm:prSet presAssocID="{20B016B4-AB98-458B-96D0-6BA600E3D5CA}" presName="node" presStyleLbl="node1" presStyleIdx="0" presStyleCnt="5">
        <dgm:presLayoutVars>
          <dgm:bulletEnabled val="1"/>
        </dgm:presLayoutVars>
      </dgm:prSet>
      <dgm:spPr/>
    </dgm:pt>
    <dgm:pt modelId="{3A6B003E-A8DC-4B21-811F-8877F058580C}" type="pres">
      <dgm:prSet presAssocID="{7534FF56-9CC5-498D-8743-66C99D9004D4}" presName="sibTrans" presStyleCnt="0"/>
      <dgm:spPr/>
    </dgm:pt>
    <dgm:pt modelId="{FD0A9B4E-DBFF-4FD1-8D96-70A41F5E1E48}" type="pres">
      <dgm:prSet presAssocID="{7EA57D12-8383-4353-88EB-A2C2D8F74B42}" presName="node" presStyleLbl="node1" presStyleIdx="1" presStyleCnt="5">
        <dgm:presLayoutVars>
          <dgm:bulletEnabled val="1"/>
        </dgm:presLayoutVars>
      </dgm:prSet>
      <dgm:spPr/>
    </dgm:pt>
    <dgm:pt modelId="{7B60EE57-AFEA-498B-919F-59AA97B16086}" type="pres">
      <dgm:prSet presAssocID="{81415481-0842-481B-B721-EF604351CFA3}" presName="sibTrans" presStyleCnt="0"/>
      <dgm:spPr/>
    </dgm:pt>
    <dgm:pt modelId="{AD57B40A-1264-478E-8571-85062608055B}" type="pres">
      <dgm:prSet presAssocID="{C062DB1D-3821-46AF-A431-445F13B1653E}" presName="node" presStyleLbl="node1" presStyleIdx="2" presStyleCnt="5">
        <dgm:presLayoutVars>
          <dgm:bulletEnabled val="1"/>
        </dgm:presLayoutVars>
      </dgm:prSet>
      <dgm:spPr/>
    </dgm:pt>
    <dgm:pt modelId="{84DC3EFF-C514-42E2-A6AE-A5299ECB2AE5}" type="pres">
      <dgm:prSet presAssocID="{D135F095-53A5-46AE-8E41-897AE4FAE1A7}" presName="sibTrans" presStyleCnt="0"/>
      <dgm:spPr/>
    </dgm:pt>
    <dgm:pt modelId="{7F221001-0A56-4FB1-BBDB-9DBEE8AF5561}" type="pres">
      <dgm:prSet presAssocID="{968E6ADD-66C3-4192-90A5-CDE8610C8B2E}" presName="node" presStyleLbl="node1" presStyleIdx="3" presStyleCnt="5">
        <dgm:presLayoutVars>
          <dgm:bulletEnabled val="1"/>
        </dgm:presLayoutVars>
      </dgm:prSet>
      <dgm:spPr/>
    </dgm:pt>
    <dgm:pt modelId="{2029C571-F5BE-448C-9F89-190D0AF9FB85}" type="pres">
      <dgm:prSet presAssocID="{7F0818C1-799D-4A6C-BC9C-7FE425820C7C}" presName="sibTrans" presStyleCnt="0"/>
      <dgm:spPr/>
    </dgm:pt>
    <dgm:pt modelId="{51650AC4-FC5F-416E-9CC9-DD7152919965}" type="pres">
      <dgm:prSet presAssocID="{197F3B28-88A6-4050-A41E-B443351F13F8}" presName="node" presStyleLbl="node1" presStyleIdx="4" presStyleCnt="5">
        <dgm:presLayoutVars>
          <dgm:bulletEnabled val="1"/>
        </dgm:presLayoutVars>
      </dgm:prSet>
      <dgm:spPr/>
    </dgm:pt>
  </dgm:ptLst>
  <dgm:cxnLst>
    <dgm:cxn modelId="{BA032A2F-4240-426C-B207-CCEDDB922547}" type="presOf" srcId="{C062DB1D-3821-46AF-A431-445F13B1653E}" destId="{AD57B40A-1264-478E-8571-85062608055B}" srcOrd="0" destOrd="0" presId="urn:microsoft.com/office/officeart/2005/8/layout/default"/>
    <dgm:cxn modelId="{BAF73232-56F3-4442-B5FD-F03E75DD76EE}" srcId="{ED914EAF-FD2C-4616-ABAE-399ACECA15DA}" destId="{C062DB1D-3821-46AF-A431-445F13B1653E}" srcOrd="2" destOrd="0" parTransId="{B50A356B-99C7-4782-AD2B-7BCF63D74D78}" sibTransId="{D135F095-53A5-46AE-8E41-897AE4FAE1A7}"/>
    <dgm:cxn modelId="{4A0D623A-A837-4389-9C48-1770F61D376B}" srcId="{ED914EAF-FD2C-4616-ABAE-399ACECA15DA}" destId="{7EA57D12-8383-4353-88EB-A2C2D8F74B42}" srcOrd="1" destOrd="0" parTransId="{F44EDC9B-56A3-4F4E-93CF-C60401A977B1}" sibTransId="{81415481-0842-481B-B721-EF604351CFA3}"/>
    <dgm:cxn modelId="{4BC17461-BA19-4E23-8F1A-5E62F00F6361}" type="presOf" srcId="{20B016B4-AB98-458B-96D0-6BA600E3D5CA}" destId="{6635C4D1-3310-4BFE-B68F-719F63194129}" srcOrd="0" destOrd="0" presId="urn:microsoft.com/office/officeart/2005/8/layout/default"/>
    <dgm:cxn modelId="{E5708F43-16A6-47E2-884A-940A0A9D81B9}" srcId="{ED914EAF-FD2C-4616-ABAE-399ACECA15DA}" destId="{20B016B4-AB98-458B-96D0-6BA600E3D5CA}" srcOrd="0" destOrd="0" parTransId="{80263CFF-9D10-4A28-A15B-D03CE51C281F}" sibTransId="{7534FF56-9CC5-498D-8743-66C99D9004D4}"/>
    <dgm:cxn modelId="{6728F673-4CFB-4B62-B86C-CB8DB1971659}" type="presOf" srcId="{968E6ADD-66C3-4192-90A5-CDE8610C8B2E}" destId="{7F221001-0A56-4FB1-BBDB-9DBEE8AF5561}" srcOrd="0" destOrd="0" presId="urn:microsoft.com/office/officeart/2005/8/layout/default"/>
    <dgm:cxn modelId="{198F8793-4134-4152-9D40-58C27A12DDA6}" type="presOf" srcId="{ED914EAF-FD2C-4616-ABAE-399ACECA15DA}" destId="{E966532B-8228-447A-A92B-2759670AEB74}" srcOrd="0" destOrd="0" presId="urn:microsoft.com/office/officeart/2005/8/layout/default"/>
    <dgm:cxn modelId="{7CE722A8-0E8C-446A-A0BF-A815CF2A45C4}" type="presOf" srcId="{7EA57D12-8383-4353-88EB-A2C2D8F74B42}" destId="{FD0A9B4E-DBFF-4FD1-8D96-70A41F5E1E48}" srcOrd="0" destOrd="0" presId="urn:microsoft.com/office/officeart/2005/8/layout/default"/>
    <dgm:cxn modelId="{D93D43AC-548F-494F-8233-C0730AFA4B6C}" type="presOf" srcId="{197F3B28-88A6-4050-A41E-B443351F13F8}" destId="{51650AC4-FC5F-416E-9CC9-DD7152919965}" srcOrd="0" destOrd="0" presId="urn:microsoft.com/office/officeart/2005/8/layout/default"/>
    <dgm:cxn modelId="{A3570BC5-07EF-4A99-9FC9-ED9D3072AEB8}" srcId="{ED914EAF-FD2C-4616-ABAE-399ACECA15DA}" destId="{968E6ADD-66C3-4192-90A5-CDE8610C8B2E}" srcOrd="3" destOrd="0" parTransId="{2FA9B02E-130D-444C-A10C-F70F3DA37CCE}" sibTransId="{7F0818C1-799D-4A6C-BC9C-7FE425820C7C}"/>
    <dgm:cxn modelId="{67B463DC-978F-4F2B-A46C-4B401FF0E1A2}" srcId="{ED914EAF-FD2C-4616-ABAE-399ACECA15DA}" destId="{197F3B28-88A6-4050-A41E-B443351F13F8}" srcOrd="4" destOrd="0" parTransId="{42D3380E-142B-41C6-AA2C-4D42C663E071}" sibTransId="{0F0EDAD7-AF6A-41EA-BA3B-F46BC8729944}"/>
    <dgm:cxn modelId="{D721DD30-053D-453C-8F5D-E2D38A4F859C}" type="presParOf" srcId="{E966532B-8228-447A-A92B-2759670AEB74}" destId="{6635C4D1-3310-4BFE-B68F-719F63194129}" srcOrd="0" destOrd="0" presId="urn:microsoft.com/office/officeart/2005/8/layout/default"/>
    <dgm:cxn modelId="{E724E9FC-0514-48C4-A627-70F859C6C2F9}" type="presParOf" srcId="{E966532B-8228-447A-A92B-2759670AEB74}" destId="{3A6B003E-A8DC-4B21-811F-8877F058580C}" srcOrd="1" destOrd="0" presId="urn:microsoft.com/office/officeart/2005/8/layout/default"/>
    <dgm:cxn modelId="{752CB5EC-66FE-429C-9265-63C6544E1652}" type="presParOf" srcId="{E966532B-8228-447A-A92B-2759670AEB74}" destId="{FD0A9B4E-DBFF-4FD1-8D96-70A41F5E1E48}" srcOrd="2" destOrd="0" presId="urn:microsoft.com/office/officeart/2005/8/layout/default"/>
    <dgm:cxn modelId="{F25623C1-F993-4345-9A3A-AFABFAAE30AF}" type="presParOf" srcId="{E966532B-8228-447A-A92B-2759670AEB74}" destId="{7B60EE57-AFEA-498B-919F-59AA97B16086}" srcOrd="3" destOrd="0" presId="urn:microsoft.com/office/officeart/2005/8/layout/default"/>
    <dgm:cxn modelId="{AA472E57-7796-4387-8F69-EDCC9C77E0D0}" type="presParOf" srcId="{E966532B-8228-447A-A92B-2759670AEB74}" destId="{AD57B40A-1264-478E-8571-85062608055B}" srcOrd="4" destOrd="0" presId="urn:microsoft.com/office/officeart/2005/8/layout/default"/>
    <dgm:cxn modelId="{D95CA0A4-5F1F-4443-890F-2890220F5ADF}" type="presParOf" srcId="{E966532B-8228-447A-A92B-2759670AEB74}" destId="{84DC3EFF-C514-42E2-A6AE-A5299ECB2AE5}" srcOrd="5" destOrd="0" presId="urn:microsoft.com/office/officeart/2005/8/layout/default"/>
    <dgm:cxn modelId="{A2D40EAD-632D-430D-939B-A35EBE21A213}" type="presParOf" srcId="{E966532B-8228-447A-A92B-2759670AEB74}" destId="{7F221001-0A56-4FB1-BBDB-9DBEE8AF5561}" srcOrd="6" destOrd="0" presId="urn:microsoft.com/office/officeart/2005/8/layout/default"/>
    <dgm:cxn modelId="{6B8752A0-AC79-4839-83EE-E4A34980FBAB}" type="presParOf" srcId="{E966532B-8228-447A-A92B-2759670AEB74}" destId="{2029C571-F5BE-448C-9F89-190D0AF9FB85}" srcOrd="7" destOrd="0" presId="urn:microsoft.com/office/officeart/2005/8/layout/default"/>
    <dgm:cxn modelId="{0B802BB6-DB9E-4016-98E9-9DD1AD773DE4}" type="presParOf" srcId="{E966532B-8228-447A-A92B-2759670AEB74}" destId="{51650AC4-FC5F-416E-9CC9-DD715291996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35C4D1-3310-4BFE-B68F-719F63194129}">
      <dsp:nvSpPr>
        <dsp:cNvPr id="0" name=""/>
        <dsp:cNvSpPr/>
      </dsp:nvSpPr>
      <dsp:spPr>
        <a:xfrm>
          <a:off x="927975" y="455"/>
          <a:ext cx="1833106" cy="1099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rgbClr val="92D050"/>
              </a:solidFill>
            </a:rPr>
            <a:t>Публикация отдельной инфоримации на сайтах ГРБС 16 баллов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927975" y="455"/>
        <a:ext cx="1833106" cy="1099864"/>
      </dsp:txXfrm>
    </dsp:sp>
    <dsp:sp modelId="{FD0A9B4E-DBFF-4FD1-8D96-70A41F5E1E48}">
      <dsp:nvSpPr>
        <dsp:cNvPr id="0" name=""/>
        <dsp:cNvSpPr/>
      </dsp:nvSpPr>
      <dsp:spPr>
        <a:xfrm>
          <a:off x="2944392" y="455"/>
          <a:ext cx="1833106" cy="1099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rgbClr val="FFFF00"/>
              </a:solidFill>
            </a:rPr>
            <a:t>Среднесрочное финансовое планирование 61 балл</a:t>
          </a:r>
        </a:p>
      </dsp:txBody>
      <dsp:txXfrm>
        <a:off x="2944392" y="455"/>
        <a:ext cx="1833106" cy="1099864"/>
      </dsp:txXfrm>
    </dsp:sp>
    <dsp:sp modelId="{AD57B40A-1264-478E-8571-85062608055B}">
      <dsp:nvSpPr>
        <dsp:cNvPr id="0" name=""/>
        <dsp:cNvSpPr/>
      </dsp:nvSpPr>
      <dsp:spPr>
        <a:xfrm>
          <a:off x="927975" y="1283630"/>
          <a:ext cx="1833106" cy="1099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rgbClr val="FFC000"/>
              </a:solidFill>
            </a:rPr>
            <a:t>Учет и отчетность 10 баллов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927975" y="1283630"/>
        <a:ext cx="1833106" cy="1099864"/>
      </dsp:txXfrm>
    </dsp:sp>
    <dsp:sp modelId="{7F221001-0A56-4FB1-BBDB-9DBEE8AF5561}">
      <dsp:nvSpPr>
        <dsp:cNvPr id="0" name=""/>
        <dsp:cNvSpPr/>
      </dsp:nvSpPr>
      <dsp:spPr>
        <a:xfrm>
          <a:off x="2944392" y="1283630"/>
          <a:ext cx="1833106" cy="1099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rgbClr val="00B050"/>
              </a:solidFill>
            </a:rPr>
            <a:t>Исполнение по расходам 55 баллов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2944392" y="1283630"/>
        <a:ext cx="1833106" cy="1099864"/>
      </dsp:txXfrm>
    </dsp:sp>
    <dsp:sp modelId="{51650AC4-FC5F-416E-9CC9-DD7152919965}">
      <dsp:nvSpPr>
        <dsp:cNvPr id="0" name=""/>
        <dsp:cNvSpPr/>
      </dsp:nvSpPr>
      <dsp:spPr>
        <a:xfrm>
          <a:off x="1936184" y="2566805"/>
          <a:ext cx="1833106" cy="1099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rgbClr val="00B0F0"/>
              </a:solidFill>
            </a:rPr>
            <a:t>Исполнение бюджета по доходам 21 балл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/>
        </a:p>
      </dsp:txBody>
      <dsp:txXfrm>
        <a:off x="1936184" y="2566805"/>
        <a:ext cx="1833106" cy="1099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Пользователь</cp:lastModifiedBy>
  <cp:revision>7</cp:revision>
  <cp:lastPrinted>2020-06-11T11:01:00Z</cp:lastPrinted>
  <dcterms:created xsi:type="dcterms:W3CDTF">2024-04-11T13:11:00Z</dcterms:created>
  <dcterms:modified xsi:type="dcterms:W3CDTF">2024-04-15T07:20:00Z</dcterms:modified>
</cp:coreProperties>
</file>